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«ФОРМИРОВАНИЕ ФУНКЦИОНАЛЬНОЙ ГРАМОТНОСТИ У ОБУЧАЮЩИХСЯ».</w:t>
      </w: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442043" w:rsidRPr="00FF068E" w:rsidRDefault="00442043" w:rsidP="004420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0C1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учащихся – одна из основных задач современного образования. Уровень сформированности функциональной грамотности – показатель качества образования в масштабах от школьного до государственного.  </w:t>
      </w: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 </w:t>
      </w: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ТАКОЕ «ФУНКЦИОНАЛЬНАЯ ГРАМОТНОСТЬ»?</w:t>
      </w:r>
    </w:p>
    <w:p w:rsidR="00442043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42043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F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Функциональная грамотность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442043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ФГОС-2021 подразумевает, что человек развивает функциональную грамотность в течение всей жизни. Поэтому в школе важно уделить внимание возможностям для саморазвития и самообразования учеников. А чтобы сформировать у школьников функциональную грамотность, педагогам следует работать с каждым ее компонентом. </w:t>
      </w:r>
    </w:p>
    <w:p w:rsidR="00442043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043" w:rsidRPr="00957FF0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F0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функциональная грамотность включает 6 компонентов. 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функциональной грамотности.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грамотность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компетенции</w:t>
      </w:r>
    </w:p>
    <w:p w:rsidR="00442043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C129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</w:t>
      </w:r>
    </w:p>
    <w:p w:rsidR="00442043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Pr="00AA14D5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ФУНКЦИОНАЛЬНАЯ ГРАМОТНОСТЬ СЕЙЧАС СТАЛА ОДНОЙ ИЗ ГЛАВНЫХ ТЕМ ДЛЯ ОБСУЖДЕНИЯ?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стал гораздо сложнее, чем был двадцать лет назад, а тем более тридцать лет назад. Эти сложности требуют особого подхода в педагогике.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получится в ходе работы? Ребёнок должен быть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 успешно взаимодействовать с изменяющимся окружающим миром, решать различные (в том числе нестандартные) учебные и жизненные задачи, строить социальные отношения, стрем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к дальнейшему образованию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43" w:rsidRPr="00723ED4" w:rsidRDefault="00442043" w:rsidP="004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подробнее остановиться на читательской грамотности.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23ED4">
        <w:rPr>
          <w:sz w:val="28"/>
          <w:szCs w:val="28"/>
        </w:rPr>
        <w:t xml:space="preserve">   Что же такое читательская грамотность?</w:t>
      </w: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2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</w:t>
      </w:r>
    </w:p>
    <w:p w:rsidR="00442043" w:rsidRPr="000C129A" w:rsidRDefault="00442043" w:rsidP="00442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2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 —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грамотность —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  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грамотность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знание и понимание финансовых понятий и финансовых рисков.Включает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Креативное мышление —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442043" w:rsidRPr="000C129A" w:rsidRDefault="00442043" w:rsidP="004420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Глобальные компетенции — </w:t>
      </w:r>
      <w:r w:rsidRPr="000C1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</w:t>
      </w:r>
      <w:r w:rsidRPr="000C1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Мастер-класс </w:t>
      </w:r>
      <w:r w:rsidRPr="000843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«Приёмы формирования читательской грамотности».</w:t>
      </w:r>
    </w:p>
    <w:p w:rsidR="00442043" w:rsidRPr="00084321" w:rsidRDefault="00442043" w:rsidP="0044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некоторые приемы работы с текстом,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</w:t>
      </w:r>
      <w:r w:rsidRP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очень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приёмы можно использовать на любом уроке.</w:t>
      </w:r>
    </w:p>
    <w:p w:rsidR="00442043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Default="00442043" w:rsidP="0044204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  <w:r w:rsidRPr="00084321">
        <w:rPr>
          <w:b/>
          <w:sz w:val="28"/>
          <w:szCs w:val="28"/>
          <w:u w:val="single"/>
        </w:rPr>
        <w:t>Приёмы работы с текстом при изучении нового материала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7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Приём «Письмо с дырками (пробелами)».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читательского умения интегрировать и 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интерпретировать сообщения текста рекомендуется этот прием. Он подойдет в 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качестве проверки усвоенных ранее знаний и для работы с параграфом при 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изучении нового материала.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порядком морфологического разбора имени существительного. 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рассказа о существительном по опорным словам. (6 класс)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Имя существительное обозначает…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Отвечает на вопросы…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форма имени существительного - … падеж…числа.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Имена существительные имеют следующие постоянные признаки: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или ….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или …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 к … или …, или … роду, к … , или … , или ….. склонению.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Имена существительные имеют следующие непостоянные признаки:….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Существительные изменяются по … и … .</w:t>
      </w:r>
    </w:p>
    <w:p w:rsidR="00442043" w:rsidRPr="00871F06" w:rsidRDefault="00442043" w:rsidP="004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 предложении имя существительное может быть как …, … , … , … , … .</w:t>
      </w:r>
    </w:p>
    <w:p w:rsidR="00442043" w:rsidRDefault="00442043" w:rsidP="004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42043" w:rsidRDefault="00442043" w:rsidP="004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AA14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.Приём «Верите ли вы …»</w:t>
      </w:r>
    </w:p>
    <w:p w:rsidR="00442043" w:rsidRPr="000A2ECD" w:rsidRDefault="00442043" w:rsidP="004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2ECD">
        <w:rPr>
          <w:rFonts w:ascii="Times New Roman" w:hAnsi="Times New Roman" w:cs="Times New Roman"/>
          <w:sz w:val="28"/>
          <w:szCs w:val="28"/>
        </w:rPr>
        <w:t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знакомства с текстом учебника спрашиваю: Что нового ребята узнали, прочитав главу учебника? Что их удивило? Учащиеся, выбирая «верные утверждения » из предложенных учителем, описывают заданную тему, полагаясь на собственные знания, опыт или попросту угадывая. Независимо от того, каким способом дети выбирают утверждения, они уже настраиваются на тему, выделяют ее ключевые моменты.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учеников убедиться в своей правоте, узнать истину заставляет их с большей заинтересованностью отнестись к изучению нового, учебной статье.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Используется, например, при знакомстве с причастием (7 класс):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Причастие - это самостоятельная часть речи.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совмещают в себе признаки глагола и прилагательного.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бывают 1 и 2 спряжения.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бывают совершенного и несовершенного вида.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могут быть действительными и страдающими.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Действительные причастия могут иметь краткую форму.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с зависимым словом называется причастным оборотом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43" w:rsidRPr="004B4D72" w:rsidRDefault="00442043" w:rsidP="00442043">
      <w:pPr>
        <w:pStyle w:val="a3"/>
        <w:numPr>
          <w:ilvl w:val="0"/>
          <w:numId w:val="1"/>
        </w:numPr>
        <w:shd w:val="clear" w:color="auto" w:fill="FFFFFF"/>
        <w:spacing w:after="150"/>
        <w:rPr>
          <w:b/>
          <w:sz w:val="28"/>
          <w:szCs w:val="28"/>
          <w:u w:val="single"/>
        </w:rPr>
      </w:pPr>
      <w:r w:rsidRPr="004B4D72">
        <w:rPr>
          <w:b/>
          <w:sz w:val="28"/>
          <w:szCs w:val="28"/>
          <w:u w:val="single"/>
        </w:rPr>
        <w:t>Приемы активизации ранее полученных знаний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активизации ранее полученных знаний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 Прием «Ассоциация»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К теме или конкретному понятию урока нужно выписать в столбик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слова-ассоциации. Выход будет следующим: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если ряд получился сравнительно правильным и достаточным, дать задание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определение, используя записанные слова; затем выслушать, сравнить со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словарным вариантом, можно добавить новые слова в ассоциативный ряд;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оставить запись на доске, объяснить новую тему, в конце урока вернуться,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что-либо добавить или стереть.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Тема «Частица как часть речи» (7 класс).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Ассоциации: служебная часть речи, смысловые оттенки, чувства, эмоции,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слов.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Выводится определение: частица – это часть речи, которая служит для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смысловых оттенков слов и целых высказываний или для образования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слов.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вызов уже имеющихся знаний по изучаемому вопросу, мотивация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дальнейшей работы.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4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“Шаг за шагом”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Описание: приём интерактивного обучения. Используется для активизации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ранее знаний.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Ученики, шагая к доске, на каждый шаг называют термин, понятие, явление и </w:t>
      </w:r>
    </w:p>
    <w:p w:rsidR="00442043" w:rsidRPr="004B4D7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из изученного ранее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причастии)</w:t>
      </w:r>
    </w:p>
    <w:p w:rsidR="00442043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графической переработки учебного материала</w:t>
      </w:r>
    </w:p>
    <w:p w:rsidR="00442043" w:rsidRPr="005D758C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1.Прием «Составление кластера»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 является приемом графической систематизации материала. Этот прием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умения выделять смысловые единицы текста и графически оформлять в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порядке в виде грозди, компонуя материал по категориям.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 оформляется в виде грозди или модели планеты со спутниками. В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располагается основное понятие, мысль, по сторонам обозначаются крупные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единицы, соединенные с центральным понятием прямыми линиями. Это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слова, словосочетания, предложения, выражающие идеи, мысли, факты,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образы, ассоциации, касающиеся данной темы. И уже вокруг «спутников»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планеты могут находиться менее значительные смысловые единицы,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полно раскрывающие тему и расширяющие логические связи.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«Опорный конспект» или «Конкурс шпаргалок»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читательского умения находить и извлекать информацию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текста предлагаем задания, в которых требуется работать с графической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информацией: извлекать информацию, ориентируясь на слова (подписи под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рисунками, названия столбиков диаграммы, название таблиц, схем); понимать язык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графика, схемы, диаграммы.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приема: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опорный конспект по изучаемой теме и «озвучить» его.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участие в «конкурсе шпаргалок».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шпаргалок — форма учебной работы, в процессе подготовки которой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отрабатываются умения «сворачивать и разворачивать информацию» в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ограничительных условиях. Проводится этот конкурс так. В начале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темы учитель объявляет начало конкурса и оговаривает его условия.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может отвечать по подготовленной дома «шпаргалке», если: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«шпаргалка» оформлена на листе бумаги форматом А4;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шпаргалке нет текста, а информация представлена отдельными словами,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условными знаками, схематичными рисунками, стрелками, расположением единиц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относительно друг друга;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количество слов и других единиц информации соответствует принятым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(например, на листе может быть не больше 10 слов, трех условных знаков,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стрелок или линий).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«шпаргалки» по мере их использования на уроке вывешиваются на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стенде. В конце изучения темы подводятся итоги.</w:t>
      </w:r>
    </w:p>
    <w:p w:rsidR="00442043" w:rsidRPr="00531811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3181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IV</w:t>
      </w:r>
      <w:r w:rsidRPr="005318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.Приемы, используемые при групповой работе</w:t>
      </w:r>
    </w:p>
    <w:p w:rsidR="00442043" w:rsidRPr="00531811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1.Приём «Корзина» идей, понятий….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прием организации индивидуальной и групповой работы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 начальной стадии урока, когда идет актуализация имеющегося у них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и знаний, он позволяет выяснить все, что знают или думают ученики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обсуждаемой теме урока. На доске - корзина, в которой условно будет собрано все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 ученики вместе знают об изучаемой теме.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 проводится по следующей процедуре: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Задается прямой вопрос о том, что известно ученикам по той или иной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Сначала каждый ученик вспоминает и записывает в тетради все, что знает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или иной проблеме (1-2 минуты).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Затем происходит обмен информацией в парах или группах (не более 3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Далее каждая группа по кругу называет какое-то одно сведение или факт, при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этом, не повторяя ранее сказанного (составляется список идей).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Все сведения кратко в виде тезисов записываются учителем в «корзинке»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(без комментариев), даже если они ошибочны. В корзину идей можно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«сбрасывать» факты, мнения, проблемы, понятия, имеющие отношение к теме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 Далее в ходе урока это может быть связано в логические цепи.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ошибки исправляются далее, по мере освоения новой информации.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Учитель ставит перед детьми проблему: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Напишите за 1 минуту, что вы знаете о правописании парных согласных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глухости-звонкости на конце слова?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(б-п, д -т, з-с, ж-ш, в - ф, г - к; проверяются способом «один - много»)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информацией в группах.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Сбрасывание информации в корзину, запись на доске или ватмане.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собранной информации. Обобщение, вывод (чтобы правильно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слово со звонким или глухим согласным, нужно слово изменить или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однокоренное, чтобы после согласного стоял гласный)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может быть лишним? Почему?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(Снежки. Есть парный согласный, но он в середине слова).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можно ли наш способ проверки применить к таким словам?</w:t>
      </w:r>
    </w:p>
    <w:p w:rsidR="00442043" w:rsidRPr="00531811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3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«Письмо по кругу»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формирования читательского умения осмысливать и оценивать сообщения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рекомендуется предлагать задания, в которых требуется: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размышлять об информации, сообщенной в тексте; высказывать согласие или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несогласие с авторской позицией, мотивировать его, основываясь на своем личном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 или на знаниях, не содержащихся в тексте;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прочитанное с тем, что читали раньше, и со своим жизненным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опытом.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делится на группы от трех до восьми человек. У каждого ученика должен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лист бумаги. Предлагаю детям записать одно-два предложения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теме. Затем листы передаются по часовой стрелке. Каждый должен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написанное и продолжить записи. Так продолжается, пока лист не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вернется к первому автору. Затем слово предоставляется одному ученику, который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вслух читает записи. Остальные дополняют, если не прозвучало то, что они считают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важным.</w:t>
      </w:r>
    </w:p>
    <w:p w:rsidR="00442043" w:rsidRPr="00387C44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«Лови ошибку»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универсальный приём, активизирующий внимание учащихся.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Формирует: умение анализировать информацию; умение применять знания в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нестандартной ситуации; умение критически оценивать полученную информацию.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учащимся информацию, содержащую неизвестное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ошибок. Учащиеся ищут ошибку группой или индивидуально, спорят,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совещаются. Придя к определенному мнению, группа выбирает спикера. Спикер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результаты учителю или оглашает задание и результат его решения перед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классом. Чтобы обсуждение не затянулось, заранее определите на него время.</w:t>
      </w:r>
    </w:p>
    <w:p w:rsidR="00442043" w:rsidRPr="00387C44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C4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lastRenderedPageBreak/>
        <w:t>V</w:t>
      </w:r>
      <w:r w:rsidRPr="00387C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СМЫСЛОВОГО ЧТЕНИЯ</w:t>
      </w:r>
    </w:p>
    <w:p w:rsidR="00442043" w:rsidRPr="0011682C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"Мозговой штурм"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актуализация предшествующих знаний и опыта, имеющих отношение к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 теме.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обращается к ученикам с вопросом: "Какие ассоциации возникли у вас,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услышали тему?"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записывает все называемые ассоциации.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прочитать текст и определить, были ли школьники правы.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 "Глоссарий"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актуализация и повторение словаря, связанного с темой текста.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посмотреть на список слов и отметить те, которые могут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связаны с текстом.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прочтения текста ученики возвращаются к данным словам и сравнивают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значение и употребление в тексте.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 "Рассечение вопроса"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смысловая догадка о возможном содержании текста на основе его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ученикам прочитать заглавие текста и предположить, о чем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речь в тексте.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"Чтение в кружок"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управление процессом осмысления текста во время чтения.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озвучивает задание: "Мы начинаем по очереди читать текст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абзацам. Наша задача – читать внимательно, задача слушающих – задавать чтецу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чтобы проверить, понимает ли он читаемый текст. У нас есть только одна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текста, которую мы передаем следующему чтецу".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Слушающие задают вопросы по содержанию текста, читающий отвечает. Если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ответ не верен или не точен, слушающие его поправляют.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 "Чтение про себя с вопросами"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умений вдумчивого чтения.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самостоятельно читает текст, фиксируя по ходу чтения вопросы,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 задал бы автору, ведет своеобразный «диалог с автором».</w:t>
      </w:r>
    </w:p>
    <w:p w:rsidR="00442043" w:rsidRPr="00387C44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"Чтение с остановками"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управление процессом осмысления текста во время чтения.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работать с текстом в следующем ключе: "Мы будем читать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 остановками, во время которых вам будут задаваться вопросы. Одни из них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проверку понимания, другие – на прогноз содержания последующего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отрывка".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 "Читаем и спрашиваем"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умений самостоятельно работать с печатной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 формулировать вопросы, работать в парах.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1.Ученики про себя читают предложенный текст или часть текста, выбранные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2.Ученики объединяются в пары и обсуждают, какие ключевые слова следует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в прочитанном.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3.Один из учеников формулирует вопрос, используя ключевые слова, другой –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него.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4.Обсуждение ключевых слов, вопросов и ответов в классе, коррекция.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3."Чтение с пометками"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умений читать вдумчиво, оценивать информацию,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мысли автора своими словами.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дает ученикам задание написать на полях значками информацию по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алгоритму: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 Знакомая информация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+ Новая информация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-- Я думал (думала) иначе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меня заинтересовало (удивило), хочу узнать больше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 "Синквейн"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умений учащихся выделять ключевые понятия в прочитанном,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идеи, синтезировать полученные знания, проявлять творческие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написать синквейн по ключевому слову поработанного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Синквейн – «белый стих», слоган из пяти строк (от фр. Cing – пять), в котором 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синтезирована основная информация.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синквейна: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Существительное (тема).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прилагательных (описание).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глагола (действие).</w:t>
      </w:r>
    </w:p>
    <w:p w:rsidR="00442043" w:rsidRPr="009E3C22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Фраза из четырех слов (описание).</w:t>
      </w:r>
    </w:p>
    <w:p w:rsidR="00442043" w:rsidRPr="007B6E46" w:rsidRDefault="00442043" w:rsidP="00442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Существительное (перефразировка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5927" w:rsidRDefault="00785927">
      <w:bookmarkStart w:id="0" w:name="_GoBack"/>
      <w:bookmarkEnd w:id="0"/>
    </w:p>
    <w:sectPr w:rsidR="0078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663"/>
    <w:multiLevelType w:val="hybridMultilevel"/>
    <w:tmpl w:val="7B168030"/>
    <w:lvl w:ilvl="0" w:tplc="9148DD5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43"/>
    <w:rsid w:val="00442043"/>
    <w:rsid w:val="007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5480</dc:creator>
  <cp:lastModifiedBy>5480</cp:lastModifiedBy>
  <cp:revision>1</cp:revision>
  <dcterms:created xsi:type="dcterms:W3CDTF">2025-08-03T17:07:00Z</dcterms:created>
  <dcterms:modified xsi:type="dcterms:W3CDTF">2025-08-03T17:07:00Z</dcterms:modified>
</cp:coreProperties>
</file>