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933" w:rsidRPr="00DD05A6" w:rsidRDefault="00D72933" w:rsidP="009E08E6">
      <w:pPr>
        <w:pStyle w:val="11"/>
        <w:jc w:val="center"/>
        <w:rPr>
          <w:b/>
          <w:color w:val="000000" w:themeColor="text1"/>
        </w:rPr>
      </w:pPr>
    </w:p>
    <w:p w:rsidR="009E08E6" w:rsidRDefault="0004486F" w:rsidP="00ED68DA">
      <w:pPr>
        <w:pStyle w:val="11"/>
        <w:ind w:left="708"/>
        <w:jc w:val="center"/>
        <w:rPr>
          <w:b/>
          <w:color w:val="000000" w:themeColor="text1"/>
        </w:rPr>
      </w:pPr>
      <w:bookmarkStart w:id="0" w:name="_GoBack"/>
      <w:r w:rsidRPr="0004486F">
        <w:rPr>
          <w:b/>
          <w:color w:val="000000" w:themeColor="text1"/>
        </w:rPr>
        <w:t>РОЛЬ ЧЕЛОВЕЧЕСКОГО КАПИТАЛА В ОБЕСПЕЧЕНИИ ЭКОНОМИЧЕСКОЙ БЕЗОПАСНОСТИ РЕГИОНА: ВЫЗОВЫ ДЕПОПУЛЯЦИИ, "УТЕЧКИ МОЗГОВ" И РАЗВИТИЯ НЕОБХОДИМЫХ КОМПЕТЕНЦИЙ</w:t>
      </w:r>
    </w:p>
    <w:bookmarkEnd w:id="0"/>
    <w:p w:rsidR="0004486F" w:rsidRPr="00DD05A6" w:rsidRDefault="0004486F" w:rsidP="0004486F">
      <w:pPr>
        <w:pStyle w:val="11"/>
        <w:jc w:val="center"/>
        <w:rPr>
          <w:color w:val="000000" w:themeColor="text1"/>
        </w:rPr>
      </w:pPr>
    </w:p>
    <w:p w:rsidR="004A2CA1" w:rsidRPr="00DD05A6" w:rsidRDefault="00716A99" w:rsidP="004A2CA1">
      <w:pPr>
        <w:pStyle w:val="11"/>
        <w:rPr>
          <w:color w:val="000000" w:themeColor="text1"/>
        </w:rPr>
      </w:pPr>
      <w:r w:rsidRPr="00DD05A6">
        <w:rPr>
          <w:color w:val="000000" w:themeColor="text1"/>
        </w:rPr>
        <w:t xml:space="preserve">Аннотация. В статье </w:t>
      </w:r>
      <w:r w:rsidR="003C0C46" w:rsidRPr="00DD05A6">
        <w:rPr>
          <w:color w:val="000000" w:themeColor="text1"/>
        </w:rPr>
        <w:t>рассматриваются</w:t>
      </w:r>
      <w:r w:rsidR="0004486F" w:rsidRPr="00DD05A6">
        <w:rPr>
          <w:color w:val="000000" w:themeColor="text1"/>
        </w:rPr>
        <w:t xml:space="preserve"> </w:t>
      </w:r>
      <w:r w:rsidR="0004486F" w:rsidRPr="0004486F">
        <w:rPr>
          <w:color w:val="000000" w:themeColor="text1"/>
        </w:rPr>
        <w:t>роль человеческого капитала в обеспечении экономической безопасности региона</w:t>
      </w:r>
      <w:r w:rsidR="0004486F">
        <w:rPr>
          <w:color w:val="000000" w:themeColor="text1"/>
        </w:rPr>
        <w:t xml:space="preserve"> на примере г. Севастополя</w:t>
      </w:r>
      <w:r w:rsidR="0004486F" w:rsidRPr="0004486F">
        <w:rPr>
          <w:color w:val="000000" w:themeColor="text1"/>
        </w:rPr>
        <w:t xml:space="preserve">: </w:t>
      </w:r>
      <w:r w:rsidR="0004486F">
        <w:rPr>
          <w:color w:val="000000" w:themeColor="text1"/>
        </w:rPr>
        <w:t>акцент сделан на вызовах</w:t>
      </w:r>
      <w:r w:rsidR="0004486F" w:rsidRPr="0004486F">
        <w:rPr>
          <w:color w:val="000000" w:themeColor="text1"/>
        </w:rPr>
        <w:t xml:space="preserve"> депопуляции, </w:t>
      </w:r>
      <w:r w:rsidR="0004486F">
        <w:rPr>
          <w:color w:val="000000" w:themeColor="text1"/>
        </w:rPr>
        <w:t>«утечках</w:t>
      </w:r>
      <w:r w:rsidR="0004486F" w:rsidRPr="0004486F">
        <w:rPr>
          <w:color w:val="000000" w:themeColor="text1"/>
        </w:rPr>
        <w:t xml:space="preserve"> мозгов</w:t>
      </w:r>
      <w:r w:rsidR="0004486F">
        <w:rPr>
          <w:color w:val="000000" w:themeColor="text1"/>
        </w:rPr>
        <w:t>»</w:t>
      </w:r>
      <w:r w:rsidR="0004486F" w:rsidRPr="0004486F">
        <w:rPr>
          <w:color w:val="000000" w:themeColor="text1"/>
        </w:rPr>
        <w:t xml:space="preserve"> и развити</w:t>
      </w:r>
      <w:r w:rsidR="0004486F">
        <w:rPr>
          <w:color w:val="000000" w:themeColor="text1"/>
        </w:rPr>
        <w:t>и</w:t>
      </w:r>
      <w:r w:rsidR="0004486F" w:rsidRPr="0004486F">
        <w:rPr>
          <w:color w:val="000000" w:themeColor="text1"/>
        </w:rPr>
        <w:t xml:space="preserve"> необходимых компетенций</w:t>
      </w:r>
      <w:r w:rsidR="0004486F">
        <w:rPr>
          <w:color w:val="000000" w:themeColor="text1"/>
        </w:rPr>
        <w:t>.</w:t>
      </w:r>
    </w:p>
    <w:p w:rsidR="00141C26" w:rsidRPr="00DD05A6" w:rsidRDefault="00141C26" w:rsidP="00716A99">
      <w:pPr>
        <w:pStyle w:val="11"/>
        <w:rPr>
          <w:color w:val="000000" w:themeColor="text1"/>
        </w:rPr>
      </w:pPr>
      <w:r w:rsidRPr="00DD05A6">
        <w:rPr>
          <w:color w:val="000000" w:themeColor="text1"/>
        </w:rPr>
        <w:t xml:space="preserve">Ключевые слова: </w:t>
      </w:r>
      <w:r w:rsidR="0004486F">
        <w:rPr>
          <w:color w:val="000000" w:themeColor="text1"/>
        </w:rPr>
        <w:t>человеческий капитал, экономическая безопасность региона</w:t>
      </w:r>
      <w:r w:rsidR="003C0C46" w:rsidRPr="00DD05A6">
        <w:rPr>
          <w:color w:val="000000" w:themeColor="text1"/>
        </w:rPr>
        <w:t>.</w:t>
      </w:r>
    </w:p>
    <w:p w:rsidR="004A2CA1" w:rsidRDefault="004A2CA1" w:rsidP="00716A99">
      <w:pPr>
        <w:pStyle w:val="11"/>
        <w:rPr>
          <w:color w:val="000000" w:themeColor="text1"/>
        </w:rPr>
      </w:pPr>
    </w:p>
    <w:p w:rsidR="0004486F" w:rsidRPr="0004486F" w:rsidRDefault="0004486F" w:rsidP="0004486F">
      <w:pPr>
        <w:pStyle w:val="11"/>
        <w:ind w:firstLine="0"/>
        <w:jc w:val="center"/>
        <w:rPr>
          <w:b/>
          <w:color w:val="000000" w:themeColor="text1"/>
          <w:lang w:val="en-US"/>
        </w:rPr>
      </w:pPr>
      <w:r w:rsidRPr="0004486F">
        <w:rPr>
          <w:b/>
          <w:color w:val="000000" w:themeColor="text1"/>
          <w:lang w:val="en-US"/>
        </w:rPr>
        <w:t>THE ROLE OF HUMAN CAPITAL IN ENSURING THE ECONOMIC SECURITY OF THE REGION: CHALLENGES OF DEPOPULATION, «BRAIN LEAKAGE» AND DEVELOPMENT OF NECESSARY COMPETENCIES</w:t>
      </w:r>
    </w:p>
    <w:p w:rsidR="0004486F" w:rsidRPr="0004486F" w:rsidRDefault="0004486F" w:rsidP="0004486F">
      <w:pPr>
        <w:pStyle w:val="11"/>
        <w:rPr>
          <w:color w:val="000000" w:themeColor="text1"/>
          <w:lang w:val="en-US"/>
        </w:rPr>
      </w:pPr>
    </w:p>
    <w:p w:rsidR="0004486F" w:rsidRPr="0004486F" w:rsidRDefault="0004486F" w:rsidP="0004486F">
      <w:pPr>
        <w:pStyle w:val="11"/>
        <w:rPr>
          <w:color w:val="000000" w:themeColor="text1"/>
          <w:lang w:val="en-US"/>
        </w:rPr>
      </w:pPr>
      <w:r w:rsidRPr="0004486F">
        <w:rPr>
          <w:color w:val="000000" w:themeColor="text1"/>
          <w:lang w:val="en-US"/>
        </w:rPr>
        <w:t xml:space="preserve">Abstract. The article examines the role of human capital in ensuring the economic security of the region on the example of Sevastopol: the emphasis </w:t>
      </w:r>
      <w:proofErr w:type="gramStart"/>
      <w:r w:rsidRPr="0004486F">
        <w:rPr>
          <w:color w:val="000000" w:themeColor="text1"/>
          <w:lang w:val="en-US"/>
        </w:rPr>
        <w:t>is placed</w:t>
      </w:r>
      <w:proofErr w:type="gramEnd"/>
      <w:r w:rsidRPr="0004486F">
        <w:rPr>
          <w:color w:val="000000" w:themeColor="text1"/>
          <w:lang w:val="en-US"/>
        </w:rPr>
        <w:t xml:space="preserve"> on the challenges of depopulation, "brain leaks" and development of necessary competencies.</w:t>
      </w:r>
    </w:p>
    <w:p w:rsidR="0004486F" w:rsidRPr="0004486F" w:rsidRDefault="0004486F" w:rsidP="0004486F">
      <w:pPr>
        <w:pStyle w:val="11"/>
        <w:rPr>
          <w:color w:val="000000" w:themeColor="text1"/>
          <w:lang w:val="en-US"/>
        </w:rPr>
      </w:pPr>
      <w:r w:rsidRPr="0004486F">
        <w:rPr>
          <w:color w:val="000000" w:themeColor="text1"/>
          <w:lang w:val="en-US"/>
        </w:rPr>
        <w:t>Keywords: human capital, economic security of the region.</w:t>
      </w:r>
    </w:p>
    <w:p w:rsidR="00141C26" w:rsidRPr="0004486F" w:rsidRDefault="00141C26" w:rsidP="009E08E6">
      <w:pPr>
        <w:rPr>
          <w:color w:val="000000" w:themeColor="text1"/>
          <w:lang w:val="en-US"/>
        </w:rPr>
      </w:pPr>
    </w:p>
    <w:p w:rsidR="0004486F" w:rsidRPr="0004486F" w:rsidRDefault="0004486F" w:rsidP="0004486F">
      <w:pPr>
        <w:pStyle w:val="1111"/>
      </w:pPr>
      <w:r>
        <w:t>А</w:t>
      </w:r>
      <w:r w:rsidRPr="0004486F">
        <w:t xml:space="preserve">ктуальность исследования роли человеческого капитала в обеспечении экономической безопасности региона обусловлена несколькими ключевыми факторами. Во-первых, в условиях демографического кризиса, характеризующегося депопуляцией и старением населения, квалифицированные кадры становятся критически важными для поддержания </w:t>
      </w:r>
      <w:r w:rsidRPr="0004486F">
        <w:lastRenderedPageBreak/>
        <w:t>и развития экономики. Уменьшение численности трудоспособного населения приводит к дефициту рабочих рук</w:t>
      </w:r>
      <w:r>
        <w:t>.</w:t>
      </w:r>
    </w:p>
    <w:p w:rsidR="0004486F" w:rsidRPr="0004486F" w:rsidRDefault="0004486F" w:rsidP="0004486F">
      <w:pPr>
        <w:pStyle w:val="1111"/>
      </w:pPr>
      <w:r>
        <w:t>Во-вторых, проблема «</w:t>
      </w:r>
      <w:r w:rsidRPr="0004486F">
        <w:t>утечки мозгов</w:t>
      </w:r>
      <w:r>
        <w:t xml:space="preserve">», </w:t>
      </w:r>
      <w:r w:rsidRPr="0004486F">
        <w:t>когда высококвалифицированные специалисты покидают регион в поисках лучших условий труда и жизни, усугубляет ситуацию. Это приводит к потере не только кадров, но и знаний, опыта и навыков, необходимых для устойчивого развития экономики. В результате, регионы сталкиваются с трудностями в привлечении инвестиций и реализации стратегий экономического роста.</w:t>
      </w:r>
    </w:p>
    <w:p w:rsidR="0004486F" w:rsidRDefault="0004486F" w:rsidP="0004486F">
      <w:pPr>
        <w:pStyle w:val="1111"/>
      </w:pPr>
      <w:r w:rsidRPr="0004486F">
        <w:t>Наконец, развитие необходимых компетенций среди населения становится важным условием для повышения конкурентоспособности региона. Инвестиции в образование и профессиональную подготовку способствуют формированию квалифицированного человеческого капитала, который способен адаптироваться к быстро меняющимся условиям рынка и внедрять инновации. Таким образом, исследование роли человеческого капитала в контексте экономической безопасности региона является актуальным и необходимым для выработки эффективных стратегий, направленных на преодоление вызовов, связанных с депопуляцией и утечкой мозгов.</w:t>
      </w:r>
    </w:p>
    <w:p w:rsidR="0004486F" w:rsidRPr="0004486F" w:rsidRDefault="0004486F" w:rsidP="0004486F">
      <w:pPr>
        <w:pStyle w:val="1111"/>
      </w:pPr>
      <w:r w:rsidRPr="0004486F">
        <w:t>Демографические тенденции приведены в таблице 1.</w:t>
      </w:r>
    </w:p>
    <w:p w:rsidR="0004486F" w:rsidRPr="0004486F" w:rsidRDefault="0004486F" w:rsidP="0004486F">
      <w:pPr>
        <w:pStyle w:val="1111"/>
      </w:pPr>
    </w:p>
    <w:p w:rsidR="0004486F" w:rsidRPr="0004486F" w:rsidRDefault="0004486F" w:rsidP="0004486F">
      <w:pPr>
        <w:pStyle w:val="1111"/>
      </w:pPr>
      <w:r w:rsidRPr="0004486F">
        <w:t>Таблица 1 – Демографические тенденции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4"/>
        <w:gridCol w:w="1555"/>
        <w:gridCol w:w="1556"/>
        <w:gridCol w:w="1556"/>
        <w:gridCol w:w="1557"/>
        <w:gridCol w:w="1557"/>
      </w:tblGrid>
      <w:tr w:rsidR="0004486F" w:rsidRPr="0004486F" w:rsidTr="00145C23">
        <w:tc>
          <w:tcPr>
            <w:tcW w:w="1557" w:type="dxa"/>
          </w:tcPr>
          <w:p w:rsidR="0004486F" w:rsidRPr="0004486F" w:rsidRDefault="0004486F" w:rsidP="000448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557" w:type="dxa"/>
          </w:tcPr>
          <w:p w:rsidR="0004486F" w:rsidRPr="0004486F" w:rsidRDefault="0004486F" w:rsidP="000448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57" w:type="dxa"/>
          </w:tcPr>
          <w:p w:rsidR="0004486F" w:rsidRPr="0004486F" w:rsidRDefault="0004486F" w:rsidP="000448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57" w:type="dxa"/>
          </w:tcPr>
          <w:p w:rsidR="0004486F" w:rsidRPr="0004486F" w:rsidRDefault="0004486F" w:rsidP="000448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58" w:type="dxa"/>
          </w:tcPr>
          <w:p w:rsidR="0004486F" w:rsidRPr="0004486F" w:rsidRDefault="0004486F" w:rsidP="000448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58" w:type="dxa"/>
          </w:tcPr>
          <w:p w:rsidR="0004486F" w:rsidRPr="0004486F" w:rsidRDefault="0004486F" w:rsidP="000448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04486F" w:rsidRPr="0004486F" w:rsidTr="00145C23">
        <w:tc>
          <w:tcPr>
            <w:tcW w:w="1557" w:type="dxa"/>
          </w:tcPr>
          <w:p w:rsidR="0004486F" w:rsidRPr="0004486F" w:rsidRDefault="0004486F" w:rsidP="000448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Рождаемость</w:t>
            </w:r>
          </w:p>
        </w:tc>
        <w:tc>
          <w:tcPr>
            <w:tcW w:w="1557" w:type="dxa"/>
          </w:tcPr>
          <w:p w:rsidR="0004486F" w:rsidRPr="0004486F" w:rsidRDefault="0004486F" w:rsidP="000448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</w:t>
            </w:r>
          </w:p>
        </w:tc>
        <w:tc>
          <w:tcPr>
            <w:tcW w:w="1557" w:type="dxa"/>
          </w:tcPr>
          <w:p w:rsidR="0004486F" w:rsidRPr="0004486F" w:rsidRDefault="0004486F" w:rsidP="000448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1557" w:type="dxa"/>
          </w:tcPr>
          <w:p w:rsidR="0004486F" w:rsidRPr="0004486F" w:rsidRDefault="0004486F" w:rsidP="000448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1558" w:type="dxa"/>
          </w:tcPr>
          <w:p w:rsidR="0004486F" w:rsidRPr="0004486F" w:rsidRDefault="0004486F" w:rsidP="000448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1558" w:type="dxa"/>
          </w:tcPr>
          <w:p w:rsidR="0004486F" w:rsidRPr="0004486F" w:rsidRDefault="0004486F" w:rsidP="000448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</w:t>
            </w:r>
          </w:p>
        </w:tc>
      </w:tr>
      <w:tr w:rsidR="0004486F" w:rsidRPr="0004486F" w:rsidTr="00145C23">
        <w:tc>
          <w:tcPr>
            <w:tcW w:w="1557" w:type="dxa"/>
          </w:tcPr>
          <w:p w:rsidR="0004486F" w:rsidRPr="0004486F" w:rsidRDefault="0004486F" w:rsidP="000448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Смертность</w:t>
            </w:r>
          </w:p>
        </w:tc>
        <w:tc>
          <w:tcPr>
            <w:tcW w:w="1557" w:type="dxa"/>
          </w:tcPr>
          <w:p w:rsidR="0004486F" w:rsidRPr="0004486F" w:rsidRDefault="0004486F" w:rsidP="000448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11,2</w:t>
            </w:r>
          </w:p>
        </w:tc>
        <w:tc>
          <w:tcPr>
            <w:tcW w:w="1557" w:type="dxa"/>
          </w:tcPr>
          <w:p w:rsidR="0004486F" w:rsidRPr="0004486F" w:rsidRDefault="0004486F" w:rsidP="000448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10,4</w:t>
            </w:r>
          </w:p>
        </w:tc>
        <w:tc>
          <w:tcPr>
            <w:tcW w:w="1557" w:type="dxa"/>
          </w:tcPr>
          <w:p w:rsidR="0004486F" w:rsidRPr="0004486F" w:rsidRDefault="0004486F" w:rsidP="000448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10,8</w:t>
            </w:r>
          </w:p>
        </w:tc>
        <w:tc>
          <w:tcPr>
            <w:tcW w:w="1558" w:type="dxa"/>
          </w:tcPr>
          <w:p w:rsidR="0004486F" w:rsidRPr="0004486F" w:rsidRDefault="0004486F" w:rsidP="000448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1558" w:type="dxa"/>
          </w:tcPr>
          <w:p w:rsidR="0004486F" w:rsidRPr="0004486F" w:rsidRDefault="0004486F" w:rsidP="000448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11,9</w:t>
            </w:r>
          </w:p>
        </w:tc>
      </w:tr>
      <w:tr w:rsidR="0004486F" w:rsidRPr="0004486F" w:rsidTr="00145C23">
        <w:tc>
          <w:tcPr>
            <w:tcW w:w="1557" w:type="dxa"/>
          </w:tcPr>
          <w:p w:rsidR="0004486F" w:rsidRPr="0004486F" w:rsidRDefault="0004486F" w:rsidP="000448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Миграция, чел.</w:t>
            </w:r>
          </w:p>
        </w:tc>
        <w:tc>
          <w:tcPr>
            <w:tcW w:w="1557" w:type="dxa"/>
          </w:tcPr>
          <w:p w:rsidR="0004486F" w:rsidRPr="0004486F" w:rsidRDefault="004628DC" w:rsidP="000448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+19293</w:t>
            </w:r>
          </w:p>
        </w:tc>
        <w:tc>
          <w:tcPr>
            <w:tcW w:w="1557" w:type="dxa"/>
          </w:tcPr>
          <w:p w:rsidR="0004486F" w:rsidRPr="0004486F" w:rsidRDefault="004628DC" w:rsidP="000448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+28294</w:t>
            </w:r>
          </w:p>
        </w:tc>
        <w:tc>
          <w:tcPr>
            <w:tcW w:w="1557" w:type="dxa"/>
          </w:tcPr>
          <w:p w:rsidR="0004486F" w:rsidRPr="0004486F" w:rsidRDefault="004628DC" w:rsidP="000448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+4921</w:t>
            </w:r>
          </w:p>
        </w:tc>
        <w:tc>
          <w:tcPr>
            <w:tcW w:w="1558" w:type="dxa"/>
          </w:tcPr>
          <w:p w:rsidR="0004486F" w:rsidRPr="0004486F" w:rsidRDefault="004628DC" w:rsidP="000448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+2942</w:t>
            </w:r>
          </w:p>
        </w:tc>
        <w:tc>
          <w:tcPr>
            <w:tcW w:w="1558" w:type="dxa"/>
          </w:tcPr>
          <w:p w:rsidR="0004486F" w:rsidRPr="0004486F" w:rsidRDefault="004628DC" w:rsidP="000448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-3942</w:t>
            </w:r>
          </w:p>
        </w:tc>
      </w:tr>
    </w:tbl>
    <w:p w:rsidR="0004486F" w:rsidRDefault="0004486F" w:rsidP="0004486F">
      <w:pPr>
        <w:rPr>
          <w:color w:val="000000" w:themeColor="text1"/>
        </w:rPr>
      </w:pPr>
    </w:p>
    <w:p w:rsidR="004628DC" w:rsidRDefault="004628DC" w:rsidP="004628DC">
      <w:pPr>
        <w:pStyle w:val="1111"/>
        <w:rPr>
          <w:color w:val="000000" w:themeColor="text1"/>
        </w:rPr>
      </w:pPr>
      <w:r w:rsidRPr="004628DC">
        <w:rPr>
          <w:color w:val="000000" w:themeColor="text1"/>
        </w:rPr>
        <w:t xml:space="preserve">Анализ демографических тенденций в городе Севастополе за 2020-2024 годы показывает устойчивую проблему превышения смертности над рождаемостью. В то время как рождаемость колебалась в пределах 3,9-4,5 на 1 000 человек, смертность оставалась значительно выше, достигая 11,9 на 1 000 человек в 2024 году. </w:t>
      </w:r>
    </w:p>
    <w:p w:rsidR="004628DC" w:rsidRDefault="004628DC" w:rsidP="004628DC">
      <w:pPr>
        <w:pStyle w:val="1111"/>
        <w:rPr>
          <w:color w:val="000000" w:themeColor="text1"/>
        </w:rPr>
      </w:pPr>
      <w:r w:rsidRPr="004628DC">
        <w:rPr>
          <w:color w:val="000000" w:themeColor="text1"/>
        </w:rPr>
        <w:lastRenderedPageBreak/>
        <w:t xml:space="preserve">Это создает негативный демографический фон, который усугубляется миграционными процессами: несмотря на положительное сальдо миграции в первые годы, в 2024 году наблюдается отток населения. </w:t>
      </w:r>
    </w:p>
    <w:p w:rsidR="004628DC" w:rsidRDefault="004628DC" w:rsidP="004628DC">
      <w:pPr>
        <w:pStyle w:val="1111"/>
        <w:rPr>
          <w:color w:val="000000" w:themeColor="text1"/>
        </w:rPr>
      </w:pPr>
      <w:r w:rsidRPr="004628DC">
        <w:rPr>
          <w:color w:val="000000" w:themeColor="text1"/>
        </w:rPr>
        <w:t>Данная ситуация подчеркивает необходимость разработки и реализации эффективных мер по улучшению демографической ситуации, включая поддержку семей, привлечение квалифицированных кадров и создание условий для повышения качества жизни в регионе.</w:t>
      </w:r>
    </w:p>
    <w:p w:rsidR="0004486F" w:rsidRPr="00602C75" w:rsidRDefault="004628DC" w:rsidP="0004486F">
      <w:pPr>
        <w:pStyle w:val="1111"/>
        <w:rPr>
          <w:color w:val="000000" w:themeColor="text1"/>
        </w:rPr>
      </w:pPr>
      <w:r>
        <w:rPr>
          <w:color w:val="000000" w:themeColor="text1"/>
        </w:rPr>
        <w:t>Также следует</w:t>
      </w:r>
      <w:r w:rsidR="0004486F" w:rsidRPr="00602C75">
        <w:rPr>
          <w:color w:val="000000" w:themeColor="text1"/>
        </w:rPr>
        <w:t xml:space="preserve"> рассмотреть основные показатели. Численность рабочей силы региона представлена на рисунке 2.6.</w:t>
      </w:r>
    </w:p>
    <w:p w:rsidR="0004486F" w:rsidRPr="00602C75" w:rsidRDefault="0004486F" w:rsidP="0004486F">
      <w:pPr>
        <w:pStyle w:val="1111"/>
        <w:rPr>
          <w:color w:val="000000" w:themeColor="text1"/>
        </w:rPr>
      </w:pPr>
      <w:r w:rsidRPr="00602C75">
        <w:rPr>
          <w:noProof/>
          <w:color w:val="000000" w:themeColor="text1"/>
          <w:lang w:eastAsia="ru-RU"/>
        </w:rPr>
        <w:drawing>
          <wp:inline distT="0" distB="0" distL="0" distR="0" wp14:anchorId="46C63555" wp14:editId="3CF8D6F8">
            <wp:extent cx="5394960" cy="318516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4486F" w:rsidRDefault="004628DC" w:rsidP="004628DC">
      <w:pPr>
        <w:pStyle w:val="1111"/>
        <w:jc w:val="center"/>
        <w:rPr>
          <w:color w:val="000000" w:themeColor="text1"/>
        </w:rPr>
      </w:pPr>
      <w:r>
        <w:rPr>
          <w:color w:val="000000" w:themeColor="text1"/>
        </w:rPr>
        <w:t>Рисунок 1</w:t>
      </w:r>
      <w:r w:rsidR="0004486F" w:rsidRPr="00602C75">
        <w:rPr>
          <w:color w:val="000000" w:themeColor="text1"/>
        </w:rPr>
        <w:t xml:space="preserve"> – Численность рабочей силы в г. Севастополе с 2021 г. по 2024 г., тыс. </w:t>
      </w:r>
      <w:r>
        <w:rPr>
          <w:color w:val="000000" w:themeColor="text1"/>
        </w:rPr>
        <w:t>чел.</w:t>
      </w:r>
    </w:p>
    <w:p w:rsidR="004628DC" w:rsidRPr="00602C75" w:rsidRDefault="004628DC" w:rsidP="004628DC">
      <w:pPr>
        <w:pStyle w:val="1111"/>
        <w:rPr>
          <w:color w:val="000000" w:themeColor="text1"/>
        </w:rPr>
      </w:pPr>
      <w:r w:rsidRPr="004628DC">
        <w:rPr>
          <w:color w:val="000000" w:themeColor="text1"/>
        </w:rPr>
        <w:t xml:space="preserve">Анализ численности рабочей силы за период с 2021 по 2024 годы показывает общий тренд роста, с увеличением численности с 264,3 тыс. человек в 2021 году до 298,2 тыс. человек в 2023 году. Однако в 2024 году наблюдается небольшое снижение до 297,4 тыс. человек. Это может свидетельствовать о стабилизации рынка труда или влиянии внешних факторов, таких как экономические условия или миграционные процессы. В целом, несмотря на незначительное снижение в 2024 году, положительная динамика численности рабочей силы в предыдущие годы указывает на рост </w:t>
      </w:r>
      <w:r w:rsidRPr="004628DC">
        <w:rPr>
          <w:color w:val="000000" w:themeColor="text1"/>
        </w:rPr>
        <w:lastRenderedPageBreak/>
        <w:t>трудового потенциала региона, что является важным фактором для его экономического развития.</w:t>
      </w:r>
    </w:p>
    <w:p w:rsidR="004628DC" w:rsidRDefault="004628DC" w:rsidP="0004486F">
      <w:pPr>
        <w:pStyle w:val="1111"/>
        <w:rPr>
          <w:color w:val="000000" w:themeColor="text1"/>
        </w:rPr>
      </w:pPr>
    </w:p>
    <w:p w:rsidR="0004486F" w:rsidRPr="00602C75" w:rsidRDefault="0004486F" w:rsidP="0004486F">
      <w:pPr>
        <w:pStyle w:val="1111"/>
        <w:rPr>
          <w:color w:val="000000" w:themeColor="text1"/>
        </w:rPr>
      </w:pPr>
      <w:r w:rsidRPr="00602C75">
        <w:rPr>
          <w:color w:val="000000" w:themeColor="text1"/>
        </w:rPr>
        <w:t>Далее исследованы аспекты дефицита кадров в представленных регионах и в среднем по России (рисунок 2.9).</w:t>
      </w:r>
    </w:p>
    <w:p w:rsidR="0004486F" w:rsidRPr="00602C75" w:rsidRDefault="0004486F" w:rsidP="0004486F">
      <w:pPr>
        <w:pStyle w:val="1111"/>
        <w:rPr>
          <w:color w:val="000000" w:themeColor="text1"/>
        </w:rPr>
      </w:pPr>
      <w:r w:rsidRPr="00602C75">
        <w:rPr>
          <w:noProof/>
          <w:color w:val="000000" w:themeColor="text1"/>
          <w:lang w:eastAsia="ru-RU"/>
        </w:rPr>
        <w:drawing>
          <wp:inline distT="0" distB="0" distL="0" distR="0" wp14:anchorId="56FF0A3A" wp14:editId="11382D4A">
            <wp:extent cx="5394960" cy="318516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4486F" w:rsidRDefault="004628DC" w:rsidP="004628DC">
      <w:pPr>
        <w:pStyle w:val="1111"/>
        <w:jc w:val="center"/>
        <w:rPr>
          <w:color w:val="000000" w:themeColor="text1"/>
        </w:rPr>
      </w:pPr>
      <w:r>
        <w:rPr>
          <w:color w:val="000000" w:themeColor="text1"/>
        </w:rPr>
        <w:t>Рисунок 2</w:t>
      </w:r>
      <w:r w:rsidR="0004486F" w:rsidRPr="00602C75">
        <w:rPr>
          <w:color w:val="000000" w:themeColor="text1"/>
        </w:rPr>
        <w:t xml:space="preserve"> – Уровень дефицита кадров в г. Севастополе, Республике Крым и в среднем</w:t>
      </w:r>
      <w:r>
        <w:rPr>
          <w:color w:val="000000" w:themeColor="text1"/>
        </w:rPr>
        <w:t xml:space="preserve"> по РФ с 2021 г. по 2024 г., % </w:t>
      </w:r>
    </w:p>
    <w:p w:rsidR="004628DC" w:rsidRDefault="004628DC" w:rsidP="0004486F">
      <w:pPr>
        <w:pStyle w:val="1111"/>
        <w:rPr>
          <w:color w:val="000000" w:themeColor="text1"/>
        </w:rPr>
      </w:pPr>
    </w:p>
    <w:p w:rsidR="004628DC" w:rsidRDefault="004628DC" w:rsidP="0004486F">
      <w:pPr>
        <w:pStyle w:val="1111"/>
        <w:rPr>
          <w:color w:val="000000" w:themeColor="text1"/>
        </w:rPr>
      </w:pPr>
      <w:r w:rsidRPr="004628DC">
        <w:rPr>
          <w:color w:val="000000" w:themeColor="text1"/>
        </w:rPr>
        <w:t xml:space="preserve">Анализ данных о численности рабочей силы в г. Севастополе показывает устойчивый рост дефицита кадров, который в 2024 году достиг 16,3%, что значительно превышает средний показатель по Российской Федерации, составивший 7,8%. В течение рассматриваемого периода, начиная с 2021 года, дефицит кадров в Севастополе демонстрирует тенденцию к увеличению, в то время как средние значения по стране остаются значительно ниже. Это указывает на серьезные проблемы на рынке труда региона, которые могут негативно сказаться на его экономическом развитии и конкурентоспособности. Таким образом, необходимость в квалифицированных кадрах в Севастополе становится все более актуальной, </w:t>
      </w:r>
      <w:r w:rsidRPr="004628DC">
        <w:rPr>
          <w:color w:val="000000" w:themeColor="text1"/>
        </w:rPr>
        <w:lastRenderedPageBreak/>
        <w:t>требуя разработки эффективных мер по привлечению и удержанию специалистов.</w:t>
      </w:r>
    </w:p>
    <w:p w:rsidR="0004486F" w:rsidRPr="00602C75" w:rsidRDefault="0004486F" w:rsidP="0004486F">
      <w:pPr>
        <w:pStyle w:val="1111"/>
        <w:rPr>
          <w:color w:val="000000" w:themeColor="text1"/>
        </w:rPr>
      </w:pPr>
      <w:r w:rsidRPr="00602C75">
        <w:rPr>
          <w:color w:val="000000" w:themeColor="text1"/>
        </w:rPr>
        <w:t>Среди дефицита кадров необходимо особое внимание уделить отраслям экономич</w:t>
      </w:r>
      <w:r w:rsidR="004628DC">
        <w:rPr>
          <w:color w:val="000000" w:themeColor="text1"/>
        </w:rPr>
        <w:t>еской деятельности (рисунок 3</w:t>
      </w:r>
      <w:r w:rsidRPr="00602C75">
        <w:rPr>
          <w:color w:val="000000" w:themeColor="text1"/>
        </w:rPr>
        <w:t>).</w:t>
      </w:r>
    </w:p>
    <w:p w:rsidR="0004486F" w:rsidRPr="00602C75" w:rsidRDefault="0004486F" w:rsidP="0004486F">
      <w:pPr>
        <w:pStyle w:val="1111"/>
        <w:rPr>
          <w:color w:val="000000" w:themeColor="text1"/>
        </w:rPr>
      </w:pPr>
    </w:p>
    <w:p w:rsidR="0004486F" w:rsidRPr="00602C75" w:rsidRDefault="0004486F" w:rsidP="0004486F">
      <w:pPr>
        <w:pStyle w:val="1111"/>
        <w:rPr>
          <w:color w:val="000000" w:themeColor="text1"/>
        </w:rPr>
      </w:pPr>
      <w:r w:rsidRPr="00602C75">
        <w:rPr>
          <w:noProof/>
          <w:color w:val="000000" w:themeColor="text1"/>
          <w:lang w:eastAsia="ru-RU"/>
        </w:rPr>
        <w:drawing>
          <wp:inline distT="0" distB="0" distL="0" distR="0" wp14:anchorId="28B5F33F" wp14:editId="67417BC5">
            <wp:extent cx="5486400" cy="3703320"/>
            <wp:effectExtent l="0" t="0" r="0" b="1143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4486F" w:rsidRPr="00602C75" w:rsidRDefault="0004486F" w:rsidP="004628DC">
      <w:pPr>
        <w:pStyle w:val="1111"/>
        <w:jc w:val="center"/>
        <w:rPr>
          <w:color w:val="000000" w:themeColor="text1"/>
        </w:rPr>
      </w:pPr>
      <w:r w:rsidRPr="00602C75">
        <w:rPr>
          <w:color w:val="000000" w:themeColor="text1"/>
        </w:rPr>
        <w:t xml:space="preserve">Рисунок </w:t>
      </w:r>
      <w:r w:rsidR="004628DC">
        <w:rPr>
          <w:color w:val="000000" w:themeColor="text1"/>
        </w:rPr>
        <w:t>3</w:t>
      </w:r>
      <w:r w:rsidRPr="00602C75">
        <w:rPr>
          <w:color w:val="000000" w:themeColor="text1"/>
        </w:rPr>
        <w:t xml:space="preserve"> – Дефицит кадров по отраслям экономики г. Севастополя в 2024 году, %</w:t>
      </w:r>
    </w:p>
    <w:p w:rsidR="0004486F" w:rsidRDefault="0004486F" w:rsidP="009E08E6">
      <w:pPr>
        <w:rPr>
          <w:color w:val="000000" w:themeColor="text1"/>
        </w:rPr>
      </w:pPr>
    </w:p>
    <w:p w:rsidR="004628DC" w:rsidRPr="004628DC" w:rsidRDefault="004628DC" w:rsidP="004628DC">
      <w:pPr>
        <w:pStyle w:val="1111"/>
      </w:pPr>
      <w:r w:rsidRPr="004628DC">
        <w:t xml:space="preserve">Анализ дефицита кадров в г. Севастополе показывает, что он значительно превышает средние показатели по Российской Федерации. В 2024 году дефицит кадров в Севастополе составил 16,3%, в то время как в среднем по стране этот показатель равен 7,8%. Особенно остро проблема ощущается в строительном секторе (22,9%), медицинском персонале (22,4%) и IT-отрасли (12,3%). Это свидетельствует о серьезных вызовах для экономики региона, связанных с нехваткой квалифицированных специалистов. Утечка мозгов, когда высококвалифицированные кадры покидают регион в поисках лучших условий труда и жизни, усугубляет ситуацию, что может негативно сказаться на устойчивом развитии Севастополя и его конкурентоспособности. </w:t>
      </w:r>
      <w:r w:rsidRPr="004628DC">
        <w:lastRenderedPageBreak/>
        <w:t>Необходимы меры по привлечению и удержанию специалистов, а также создание благоприятных условий для их работы и жизни в регионе</w:t>
      </w:r>
      <w:r>
        <w:t xml:space="preserve"> </w:t>
      </w:r>
      <w:r w:rsidRPr="004628DC">
        <w:t>[3].</w:t>
      </w:r>
    </w:p>
    <w:p w:rsidR="0004486F" w:rsidRDefault="004628DC" w:rsidP="004628DC">
      <w:pPr>
        <w:pStyle w:val="1111"/>
      </w:pPr>
      <w:r>
        <w:t>В рамках повышения экономической безопасности следует реализовать ряд мероприятий</w:t>
      </w:r>
    </w:p>
    <w:p w:rsidR="004628DC" w:rsidRPr="004628DC" w:rsidRDefault="004628DC" w:rsidP="004628DC">
      <w:pPr>
        <w:pStyle w:val="11"/>
      </w:pPr>
      <w:r>
        <w:t>–</w:t>
      </w:r>
      <w:r w:rsidRPr="004628DC">
        <w:t xml:space="preserve"> Единая система оплаты труда. Введение единой справедливой системы оплаты труда для медицинских работников по всей стране вне зависимости от региона.</w:t>
      </w:r>
    </w:p>
    <w:p w:rsidR="004628DC" w:rsidRPr="004628DC" w:rsidRDefault="004628DC" w:rsidP="004628DC">
      <w:pPr>
        <w:pStyle w:val="11"/>
      </w:pPr>
      <w:r>
        <w:t>–</w:t>
      </w:r>
      <w:r w:rsidRPr="004628DC">
        <w:t xml:space="preserve"> Поддержка переезда в село. Увеличение выплат при переезде в сельскую местность и удаленные регионы, расширение программы «Земский доктор» с вып</w:t>
      </w:r>
      <w:r>
        <w:t>латами до трех миллионов рублей, аналогично для узкой квалификации (инженеры и так далее).</w:t>
      </w:r>
    </w:p>
    <w:p w:rsidR="004628DC" w:rsidRPr="004628DC" w:rsidRDefault="004628DC" w:rsidP="004628DC">
      <w:pPr>
        <w:pStyle w:val="11"/>
      </w:pPr>
      <w:r>
        <w:t>–</w:t>
      </w:r>
      <w:r w:rsidRPr="004628DC">
        <w:t xml:space="preserve"> Льготы для медработников. Введение льготной ипотеки и «губернаторских» выплат для фельдшеров и медсестер.</w:t>
      </w:r>
    </w:p>
    <w:p w:rsidR="004628DC" w:rsidRPr="004628DC" w:rsidRDefault="004628DC" w:rsidP="004628DC">
      <w:pPr>
        <w:pStyle w:val="11"/>
      </w:pPr>
      <w:r>
        <w:t>–</w:t>
      </w:r>
      <w:r w:rsidRPr="004628DC">
        <w:t xml:space="preserve"> Привлечение молодежи. Создание профильных медицинских классов в школах, учреждение именных стипендий для студентов медицинских колледжей и вузов.</w:t>
      </w:r>
    </w:p>
    <w:p w:rsidR="004628DC" w:rsidRPr="004628DC" w:rsidRDefault="004628DC" w:rsidP="004628DC">
      <w:pPr>
        <w:pStyle w:val="11"/>
      </w:pPr>
      <w:r>
        <w:t>–</w:t>
      </w:r>
      <w:r w:rsidRPr="004628DC">
        <w:t xml:space="preserve"> Доступное образование. Увеличение набора на целевое обучение среднего медицинского персонала за счет региональных средств, </w:t>
      </w:r>
      <w:proofErr w:type="spellStart"/>
      <w:r w:rsidRPr="004628DC">
        <w:t>контрольцен</w:t>
      </w:r>
      <w:proofErr w:type="spellEnd"/>
      <w:r w:rsidRPr="004628DC">
        <w:t xml:space="preserve"> на платное образование в медицинских вузах, а также строительном секторе.</w:t>
      </w:r>
    </w:p>
    <w:p w:rsidR="004628DC" w:rsidRPr="00DD05A6" w:rsidRDefault="004628DC" w:rsidP="009E08E6">
      <w:pPr>
        <w:rPr>
          <w:color w:val="000000" w:themeColor="text1"/>
        </w:rPr>
      </w:pPr>
    </w:p>
    <w:p w:rsidR="00141C26" w:rsidRPr="00DD05A6" w:rsidRDefault="00141C26" w:rsidP="00141C26">
      <w:pPr>
        <w:pStyle w:val="11"/>
        <w:jc w:val="center"/>
        <w:rPr>
          <w:color w:val="000000" w:themeColor="text1"/>
        </w:rPr>
      </w:pPr>
      <w:r w:rsidRPr="00DD05A6">
        <w:rPr>
          <w:color w:val="000000" w:themeColor="text1"/>
        </w:rPr>
        <w:t>Список использованных источников</w:t>
      </w:r>
    </w:p>
    <w:p w:rsidR="00141C26" w:rsidRPr="00DD05A6" w:rsidRDefault="00141C26" w:rsidP="00141C26">
      <w:pPr>
        <w:pStyle w:val="11"/>
        <w:rPr>
          <w:color w:val="000000" w:themeColor="text1"/>
        </w:rPr>
      </w:pPr>
    </w:p>
    <w:p w:rsidR="004628DC" w:rsidRPr="0039142D" w:rsidRDefault="004628DC" w:rsidP="004628DC">
      <w:pPr>
        <w:pStyle w:val="110"/>
        <w:numPr>
          <w:ilvl w:val="0"/>
          <w:numId w:val="2"/>
        </w:numPr>
        <w:ind w:left="0" w:firstLine="357"/>
        <w:rPr>
          <w:color w:val="000000" w:themeColor="text1"/>
        </w:rPr>
      </w:pPr>
      <w:r w:rsidRPr="0039142D">
        <w:rPr>
          <w:color w:val="000000" w:themeColor="text1"/>
        </w:rPr>
        <w:t>Конституция РФ (принята всенародным голосованием 12.12.1993 с изменениями, одобренными в ходе общероссийского голосования 01.07.2020 г.) [Электронный ресурс] // СПС «</w:t>
      </w:r>
      <w:proofErr w:type="spellStart"/>
      <w:r w:rsidRPr="0039142D">
        <w:rPr>
          <w:color w:val="000000" w:themeColor="text1"/>
        </w:rPr>
        <w:t>КонсультантПлюс</w:t>
      </w:r>
      <w:proofErr w:type="spellEnd"/>
      <w:r w:rsidRPr="0039142D">
        <w:rPr>
          <w:color w:val="000000" w:themeColor="text1"/>
        </w:rPr>
        <w:t xml:space="preserve">». – URL: </w:t>
      </w:r>
      <w:hyperlink r:id="rId9" w:history="1">
        <w:r w:rsidRPr="007A43B8">
          <w:rPr>
            <w:rStyle w:val="a5"/>
          </w:rPr>
          <w:t>https://www.consultant.ru/document/cons_doc_LAW_28399/</w:t>
        </w:r>
      </w:hyperlink>
      <w:r w:rsidRPr="00BE7932">
        <w:rPr>
          <w:color w:val="000000" w:themeColor="text1"/>
        </w:rPr>
        <w:t xml:space="preserve"> </w:t>
      </w:r>
      <w:r w:rsidRPr="0039142D">
        <w:rPr>
          <w:color w:val="000000" w:themeColor="text1"/>
        </w:rPr>
        <w:t>(дата обращения 28.05.2025).</w:t>
      </w:r>
    </w:p>
    <w:p w:rsidR="004628DC" w:rsidRPr="0039142D" w:rsidRDefault="004628DC" w:rsidP="004628DC">
      <w:pPr>
        <w:pStyle w:val="110"/>
        <w:numPr>
          <w:ilvl w:val="0"/>
          <w:numId w:val="2"/>
        </w:numPr>
        <w:ind w:left="0" w:firstLine="357"/>
        <w:rPr>
          <w:color w:val="000000" w:themeColor="text1"/>
        </w:rPr>
      </w:pPr>
      <w:r w:rsidRPr="0039142D">
        <w:rPr>
          <w:color w:val="000000" w:themeColor="text1"/>
        </w:rPr>
        <w:t xml:space="preserve">Указ Президента Российской Федерации от 13.05.2017 №208 «О Стратегии экономической безопасности Российской Федерации на период до 2030 года» (действующая ред. от </w:t>
      </w:r>
      <w:r>
        <w:rPr>
          <w:color w:val="000000" w:themeColor="text1"/>
        </w:rPr>
        <w:t>13.05.2017</w:t>
      </w:r>
      <w:r w:rsidRPr="0039142D">
        <w:rPr>
          <w:color w:val="000000" w:themeColor="text1"/>
        </w:rPr>
        <w:t xml:space="preserve"> г.) (говорит, что такой редакции </w:t>
      </w:r>
      <w:r w:rsidRPr="0039142D">
        <w:rPr>
          <w:color w:val="000000" w:themeColor="text1"/>
        </w:rPr>
        <w:lastRenderedPageBreak/>
        <w:t>нет) [Электронный ресурс] // СПС «</w:t>
      </w:r>
      <w:proofErr w:type="spellStart"/>
      <w:r w:rsidRPr="0039142D">
        <w:rPr>
          <w:color w:val="000000" w:themeColor="text1"/>
        </w:rPr>
        <w:t>КонсультантПлюс</w:t>
      </w:r>
      <w:proofErr w:type="spellEnd"/>
      <w:r w:rsidRPr="0039142D">
        <w:rPr>
          <w:color w:val="000000" w:themeColor="text1"/>
        </w:rPr>
        <w:t xml:space="preserve">». – URL: </w:t>
      </w:r>
      <w:hyperlink r:id="rId10" w:history="1">
        <w:r w:rsidRPr="0039142D">
          <w:rPr>
            <w:rStyle w:val="a5"/>
            <w:color w:val="000000" w:themeColor="text1"/>
          </w:rPr>
          <w:t>https://www.consultant.ru/document/cons_doc_LAW_216629/</w:t>
        </w:r>
      </w:hyperlink>
      <w:r w:rsidRPr="00BE7932">
        <w:rPr>
          <w:rStyle w:val="a5"/>
          <w:color w:val="000000" w:themeColor="text1"/>
        </w:rPr>
        <w:t xml:space="preserve"> </w:t>
      </w:r>
      <w:r w:rsidRPr="0039142D">
        <w:rPr>
          <w:color w:val="000000" w:themeColor="text1"/>
        </w:rPr>
        <w:t xml:space="preserve">(дата обращения 28.05.2025). </w:t>
      </w:r>
    </w:p>
    <w:p w:rsidR="004628DC" w:rsidRPr="0039142D" w:rsidRDefault="004628DC" w:rsidP="004628DC">
      <w:pPr>
        <w:pStyle w:val="110"/>
        <w:numPr>
          <w:ilvl w:val="0"/>
          <w:numId w:val="2"/>
        </w:numPr>
        <w:ind w:left="0" w:firstLine="357"/>
        <w:rPr>
          <w:color w:val="000000" w:themeColor="text1"/>
        </w:rPr>
      </w:pPr>
      <w:r w:rsidRPr="0039142D">
        <w:rPr>
          <w:color w:val="000000" w:themeColor="text1"/>
        </w:rPr>
        <w:t>Стратегия социально-экономического развития г. Севастополя</w:t>
      </w:r>
      <w:r w:rsidRPr="00247B52">
        <w:rPr>
          <w:color w:val="000000" w:themeColor="text1"/>
        </w:rPr>
        <w:t xml:space="preserve"> </w:t>
      </w:r>
      <w:r w:rsidRPr="0039142D">
        <w:rPr>
          <w:color w:val="000000" w:themeColor="text1"/>
        </w:rPr>
        <w:t>от 01.05.2017 [Электронный ресурс] // СПС «</w:t>
      </w:r>
      <w:proofErr w:type="spellStart"/>
      <w:r w:rsidRPr="0039142D">
        <w:rPr>
          <w:color w:val="000000" w:themeColor="text1"/>
        </w:rPr>
        <w:t>КонсультантПлюс</w:t>
      </w:r>
      <w:proofErr w:type="spellEnd"/>
      <w:r w:rsidRPr="0039142D">
        <w:rPr>
          <w:color w:val="000000" w:themeColor="text1"/>
        </w:rPr>
        <w:t xml:space="preserve">». – URL: </w:t>
      </w:r>
      <w:hyperlink r:id="rId11" w:history="1">
        <w:r w:rsidRPr="0039142D">
          <w:rPr>
            <w:rStyle w:val="a5"/>
            <w:color w:val="000000" w:themeColor="text1"/>
          </w:rPr>
          <w:t>https://www.consultant.ru/document/cons_doc_LAW_216629/</w:t>
        </w:r>
      </w:hyperlink>
      <w:r w:rsidRPr="00BE7932">
        <w:rPr>
          <w:rStyle w:val="a5"/>
          <w:color w:val="000000" w:themeColor="text1"/>
        </w:rPr>
        <w:t xml:space="preserve"> </w:t>
      </w:r>
      <w:r w:rsidRPr="0039142D">
        <w:rPr>
          <w:color w:val="000000" w:themeColor="text1"/>
        </w:rPr>
        <w:t>(дата обращения 28.05.2025).</w:t>
      </w:r>
    </w:p>
    <w:p w:rsidR="004628DC" w:rsidRPr="00071F5D" w:rsidRDefault="004628DC" w:rsidP="004628DC">
      <w:pPr>
        <w:pStyle w:val="110"/>
        <w:numPr>
          <w:ilvl w:val="0"/>
          <w:numId w:val="2"/>
        </w:numPr>
        <w:ind w:left="0" w:firstLine="357"/>
        <w:rPr>
          <w:color w:val="000000" w:themeColor="text1"/>
        </w:rPr>
      </w:pPr>
      <w:r w:rsidRPr="00071F5D">
        <w:rPr>
          <w:color w:val="000000" w:themeColor="text1"/>
        </w:rPr>
        <w:t xml:space="preserve">Арутюнова А Е. Сущность и содержание экономической безопасности территории / А. Е. Арутюнова // ЕГИ. 2023. №5 (49). С. 249-254. URL: </w:t>
      </w:r>
      <w:hyperlink r:id="rId12" w:history="1">
        <w:r w:rsidRPr="007A43B8">
          <w:rPr>
            <w:rStyle w:val="a5"/>
          </w:rPr>
          <w:t>https://cyberleninka.ru/article/n/suschnost-i-soderzhanie-ekonomicheskoy-bezopasnosti-territorii</w:t>
        </w:r>
      </w:hyperlink>
      <w:r w:rsidRPr="00BE7932">
        <w:rPr>
          <w:color w:val="000000" w:themeColor="text1"/>
        </w:rPr>
        <w:t xml:space="preserve"> </w:t>
      </w:r>
      <w:r w:rsidRPr="00071F5D">
        <w:rPr>
          <w:color w:val="000000" w:themeColor="text1"/>
        </w:rPr>
        <w:t>(дата обращения: 28.05.2025).</w:t>
      </w:r>
    </w:p>
    <w:p w:rsidR="004628DC" w:rsidRPr="00071F5D" w:rsidRDefault="004628DC" w:rsidP="004628DC">
      <w:pPr>
        <w:pStyle w:val="110"/>
        <w:numPr>
          <w:ilvl w:val="0"/>
          <w:numId w:val="2"/>
        </w:numPr>
        <w:ind w:left="0" w:firstLine="357"/>
        <w:rPr>
          <w:color w:val="000000" w:themeColor="text1"/>
        </w:rPr>
      </w:pPr>
      <w:proofErr w:type="spellStart"/>
      <w:r w:rsidRPr="00071F5D">
        <w:rPr>
          <w:color w:val="000000" w:themeColor="text1"/>
        </w:rPr>
        <w:t>Лятифов</w:t>
      </w:r>
      <w:proofErr w:type="spellEnd"/>
      <w:r w:rsidRPr="00071F5D">
        <w:rPr>
          <w:color w:val="000000" w:themeColor="text1"/>
        </w:rPr>
        <w:t xml:space="preserve"> Ч. Н. Методологические основы цифровизации социально-экономических систем / Ч. Н. </w:t>
      </w:r>
      <w:proofErr w:type="spellStart"/>
      <w:r w:rsidRPr="00071F5D">
        <w:rPr>
          <w:color w:val="000000" w:themeColor="text1"/>
        </w:rPr>
        <w:t>Лятифов</w:t>
      </w:r>
      <w:proofErr w:type="spellEnd"/>
      <w:r w:rsidRPr="00071F5D">
        <w:rPr>
          <w:color w:val="000000" w:themeColor="text1"/>
        </w:rPr>
        <w:t xml:space="preserve"> // Московский экономический журнал. 2021. №5. С. 144-150. URL: </w:t>
      </w:r>
      <w:hyperlink r:id="rId13" w:history="1">
        <w:r w:rsidRPr="007A43B8">
          <w:rPr>
            <w:rStyle w:val="a5"/>
          </w:rPr>
          <w:t>https://cyberleninka.ru/article/n/metodologicheskie-osnovy-tsifrovizatsii-sotsialno-ekonomicheskih-sistem</w:t>
        </w:r>
      </w:hyperlink>
      <w:r w:rsidRPr="00BE7932">
        <w:rPr>
          <w:color w:val="000000" w:themeColor="text1"/>
        </w:rPr>
        <w:t xml:space="preserve"> </w:t>
      </w:r>
      <w:r w:rsidRPr="00071F5D">
        <w:rPr>
          <w:color w:val="000000" w:themeColor="text1"/>
        </w:rPr>
        <w:t>(дата обращения: 28.05.2025).</w:t>
      </w:r>
    </w:p>
    <w:p w:rsidR="004628DC" w:rsidRPr="00071F5D" w:rsidRDefault="004628DC" w:rsidP="004628DC">
      <w:pPr>
        <w:pStyle w:val="110"/>
        <w:numPr>
          <w:ilvl w:val="0"/>
          <w:numId w:val="2"/>
        </w:numPr>
        <w:ind w:left="0" w:firstLine="357"/>
        <w:rPr>
          <w:color w:val="000000" w:themeColor="text1"/>
        </w:rPr>
      </w:pPr>
      <w:proofErr w:type="spellStart"/>
      <w:r w:rsidRPr="00071F5D">
        <w:rPr>
          <w:color w:val="000000" w:themeColor="text1"/>
        </w:rPr>
        <w:t>Фастович</w:t>
      </w:r>
      <w:proofErr w:type="spellEnd"/>
      <w:r w:rsidRPr="00071F5D">
        <w:rPr>
          <w:color w:val="000000" w:themeColor="text1"/>
        </w:rPr>
        <w:t xml:space="preserve"> Г. Г. Эффективность государственной политики в сфере подготовки кадров агропромышленного комплекса / Г. Г. </w:t>
      </w:r>
      <w:proofErr w:type="spellStart"/>
      <w:r w:rsidRPr="00071F5D">
        <w:rPr>
          <w:color w:val="000000" w:themeColor="text1"/>
        </w:rPr>
        <w:t>Фастович</w:t>
      </w:r>
      <w:proofErr w:type="spellEnd"/>
      <w:r w:rsidRPr="00071F5D">
        <w:rPr>
          <w:color w:val="000000" w:themeColor="text1"/>
        </w:rPr>
        <w:t xml:space="preserve"> // Аграрное и земельное право. 2022. №11 (215). С. 90-98. URL: </w:t>
      </w:r>
      <w:hyperlink r:id="rId14" w:history="1">
        <w:r w:rsidRPr="007A43B8">
          <w:rPr>
            <w:rStyle w:val="a5"/>
          </w:rPr>
          <w:t>https://cyberleninka.ru/article/n/effektivnost-gosudarstvennoy-politiki-v-sfere-podgotovki-kadrov-agropromyshlennogo-kompleksa</w:t>
        </w:r>
      </w:hyperlink>
      <w:r w:rsidRPr="00BE7932">
        <w:rPr>
          <w:color w:val="000000" w:themeColor="text1"/>
        </w:rPr>
        <w:t xml:space="preserve"> </w:t>
      </w:r>
      <w:r w:rsidRPr="00071F5D">
        <w:rPr>
          <w:color w:val="000000" w:themeColor="text1"/>
        </w:rPr>
        <w:t>(дата обращения: 28.05.2025).</w:t>
      </w:r>
    </w:p>
    <w:p w:rsidR="004628DC" w:rsidRPr="00071F5D" w:rsidRDefault="004628DC" w:rsidP="004628DC">
      <w:pPr>
        <w:pStyle w:val="110"/>
        <w:numPr>
          <w:ilvl w:val="0"/>
          <w:numId w:val="2"/>
        </w:numPr>
        <w:ind w:left="0" w:firstLine="357"/>
        <w:rPr>
          <w:color w:val="000000" w:themeColor="text1"/>
        </w:rPr>
      </w:pPr>
      <w:r w:rsidRPr="00071F5D">
        <w:rPr>
          <w:color w:val="000000" w:themeColor="text1"/>
        </w:rPr>
        <w:t xml:space="preserve">Широкова О. В. Экономическая безопасность региона: угрозы и перспективы их снижения / О. В. Широкова // ЭФО. 2022. №2. С. 198-205. URL: </w:t>
      </w:r>
      <w:hyperlink r:id="rId15" w:history="1">
        <w:r w:rsidRPr="007A43B8">
          <w:rPr>
            <w:rStyle w:val="a5"/>
          </w:rPr>
          <w:t>https://cyberleninka.ru/article/n/ekonomicheskaya-bezopasnost-regiona-ugrozy-i-perspektivy-ih-snizheniya</w:t>
        </w:r>
      </w:hyperlink>
      <w:r w:rsidRPr="00BE7932">
        <w:rPr>
          <w:color w:val="000000" w:themeColor="text1"/>
        </w:rPr>
        <w:t xml:space="preserve"> </w:t>
      </w:r>
      <w:r w:rsidRPr="00071F5D">
        <w:rPr>
          <w:color w:val="000000" w:themeColor="text1"/>
        </w:rPr>
        <w:t>(дата обращения: 28.05.2025).</w:t>
      </w:r>
    </w:p>
    <w:p w:rsidR="008525C4" w:rsidRPr="00DD05A6" w:rsidRDefault="008525C4" w:rsidP="0004486F">
      <w:pPr>
        <w:pStyle w:val="11"/>
        <w:rPr>
          <w:color w:val="000000" w:themeColor="text1"/>
        </w:rPr>
      </w:pPr>
    </w:p>
    <w:sectPr w:rsidR="008525C4" w:rsidRPr="00DD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6FDC"/>
    <w:multiLevelType w:val="hybridMultilevel"/>
    <w:tmpl w:val="202CBC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E5F0F0C"/>
    <w:multiLevelType w:val="hybridMultilevel"/>
    <w:tmpl w:val="FB72F280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C8"/>
    <w:rsid w:val="0004486F"/>
    <w:rsid w:val="00141C26"/>
    <w:rsid w:val="003C0C46"/>
    <w:rsid w:val="004628DC"/>
    <w:rsid w:val="004A2CA1"/>
    <w:rsid w:val="004E343D"/>
    <w:rsid w:val="006538E8"/>
    <w:rsid w:val="00716A99"/>
    <w:rsid w:val="008525C4"/>
    <w:rsid w:val="009E08E6"/>
    <w:rsid w:val="00B55471"/>
    <w:rsid w:val="00B82DC8"/>
    <w:rsid w:val="00CD0886"/>
    <w:rsid w:val="00D72933"/>
    <w:rsid w:val="00DD05A6"/>
    <w:rsid w:val="00ED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EEF7F-CF34-4272-98F4-23B1C70D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08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9E08E6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9E08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85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1">
    <w:name w:val="1111"/>
    <w:basedOn w:val="a"/>
    <w:qFormat/>
    <w:rsid w:val="0004486F"/>
    <w:pPr>
      <w:tabs>
        <w:tab w:val="left" w:pos="1134"/>
      </w:tabs>
      <w:spacing w:after="0" w:line="36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04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11"/>
    <w:basedOn w:val="a"/>
    <w:qFormat/>
    <w:rsid w:val="004628DC"/>
    <w:pPr>
      <w:spacing w:after="0" w:line="360" w:lineRule="auto"/>
      <w:ind w:firstLine="709"/>
      <w:contextualSpacing/>
      <w:jc w:val="both"/>
    </w:pPr>
    <w:rPr>
      <w:rFonts w:ascii="Times New Roman" w:hAnsi="Times New Roman" w:cs="Times New Roman"/>
      <w:kern w:val="2"/>
      <w:sz w:val="28"/>
      <w:szCs w:val="28"/>
      <w14:ligatures w14:val="standardContextual"/>
    </w:rPr>
  </w:style>
  <w:style w:type="character" w:styleId="a5">
    <w:name w:val="Hyperlink"/>
    <w:basedOn w:val="a0"/>
    <w:uiPriority w:val="99"/>
    <w:unhideWhenUsed/>
    <w:rsid w:val="004628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1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yperlink" Target="https://cyberleninka.ru/article/n/metodologicheskie-osnovy-tsifrovizatsii-sotsialno-ekonomicheskih-sistem" TargetMode="Externa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hyperlink" Target="https://cyberleninka.ru/article/n/suschnost-i-soderzhanie-ekonomicheskoy-bezopasnosti-territori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s://www.consultant.ru/document/cons_doc_LAW_21662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article/n/ekonomicheskaya-bezopasnost-regiona-ugrozy-i-perspektivy-ih-snizheniya" TargetMode="External"/><Relationship Id="rId10" Type="http://schemas.openxmlformats.org/officeDocument/2006/relationships/hyperlink" Target="https://www.consultant.ru/document/cons_doc_LAW_21662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28399/" TargetMode="External"/><Relationship Id="rId14" Type="http://schemas.openxmlformats.org/officeDocument/2006/relationships/hyperlink" Target="https://cyberleninka.ru/article/n/effektivnost-gosudarstvennoy-politiki-v-sfere-podgotovki-kadrov-agropromyshlennogo-kompleksa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264.3</c:v>
                </c:pt>
                <c:pt idx="1">
                  <c:v>282.8</c:v>
                </c:pt>
                <c:pt idx="2">
                  <c:v>298.2</c:v>
                </c:pt>
                <c:pt idx="3">
                  <c:v>297.39999999999998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BE3-4864-956C-C73F16787C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637647200"/>
        <c:axId val="-637642304"/>
      </c:barChart>
      <c:catAx>
        <c:axId val="-6376472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Годы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637642304"/>
        <c:crosses val="autoZero"/>
        <c:auto val="1"/>
        <c:lblAlgn val="ctr"/>
        <c:lblOffset val="100"/>
        <c:noMultiLvlLbl val="0"/>
      </c:catAx>
      <c:valAx>
        <c:axId val="-637642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637647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г. Севастополь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8.4</c:v>
                </c:pt>
                <c:pt idx="1">
                  <c:v>12.7</c:v>
                </c:pt>
                <c:pt idx="2">
                  <c:v>14.2</c:v>
                </c:pt>
                <c:pt idx="3">
                  <c:v>16.3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DDE-44A5-BCD4-52E9E37A578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Республика Крым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7.9</c:v>
                </c:pt>
                <c:pt idx="1">
                  <c:v>8.5</c:v>
                </c:pt>
                <c:pt idx="2">
                  <c:v>10.199999999999999</c:v>
                </c:pt>
                <c:pt idx="3">
                  <c:v>9.4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DDE-44A5-BCD4-52E9E37A578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срендем по РФ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5.4</c:v>
                </c:pt>
                <c:pt idx="1">
                  <c:v>6.6</c:v>
                </c:pt>
                <c:pt idx="2">
                  <c:v>6.9</c:v>
                </c:pt>
                <c:pt idx="3">
                  <c:v>7.8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DDE-44A5-BCD4-52E9E37A57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637625984"/>
        <c:axId val="-637641760"/>
      </c:barChart>
      <c:catAx>
        <c:axId val="-6376259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Годы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637641760"/>
        <c:crosses val="autoZero"/>
        <c:auto val="1"/>
        <c:lblAlgn val="ctr"/>
        <c:lblOffset val="100"/>
        <c:noMultiLvlLbl val="0"/>
      </c:catAx>
      <c:valAx>
        <c:axId val="-63764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Величина</a:t>
                </a:r>
                <a:r>
                  <a:rPr lang="ru-RU" baseline="0"/>
                  <a:t> дефицита кадров</a:t>
                </a:r>
                <a:r>
                  <a:rPr lang="ru-RU"/>
                  <a:t>,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637625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744580126636709"/>
          <c:y val="0.43637117130693592"/>
          <c:w val="0.22255419873363289"/>
          <c:h val="0.229151753758052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Строительный сектор</c:v>
                </c:pt>
                <c:pt idx="1">
                  <c:v>Медицинский персонал</c:v>
                </c:pt>
                <c:pt idx="2">
                  <c:v>Общественное питание</c:v>
                </c:pt>
                <c:pt idx="3">
                  <c:v>Торговля</c:v>
                </c:pt>
                <c:pt idx="4">
                  <c:v>Сельское хозяйство</c:v>
                </c:pt>
                <c:pt idx="5">
                  <c:v>IT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22.9</c:v>
                </c:pt>
                <c:pt idx="1">
                  <c:v>22.4</c:v>
                </c:pt>
                <c:pt idx="2">
                  <c:v>15.8</c:v>
                </c:pt>
                <c:pt idx="3">
                  <c:v>9.4</c:v>
                </c:pt>
                <c:pt idx="4">
                  <c:v>10.3</c:v>
                </c:pt>
                <c:pt idx="5">
                  <c:v>12.3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BDA-419A-B2B5-E91E38CA77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637625440"/>
        <c:axId val="-637645568"/>
      </c:barChart>
      <c:catAx>
        <c:axId val="-637625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637645568"/>
        <c:crosses val="autoZero"/>
        <c:auto val="1"/>
        <c:lblAlgn val="ctr"/>
        <c:lblOffset val="100"/>
        <c:noMultiLvlLbl val="0"/>
      </c:catAx>
      <c:valAx>
        <c:axId val="-6376455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637625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F2155-30E5-46C7-8C20-5730285E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ЗГТ</cp:lastModifiedBy>
  <cp:revision>20</cp:revision>
  <dcterms:created xsi:type="dcterms:W3CDTF">2025-05-02T08:23:00Z</dcterms:created>
  <dcterms:modified xsi:type="dcterms:W3CDTF">2025-07-09T16:13:00Z</dcterms:modified>
</cp:coreProperties>
</file>