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56080" w14:textId="77777777" w:rsidR="00555A70" w:rsidRDefault="00BF30B5" w:rsidP="00BF30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B5">
        <w:rPr>
          <w:rFonts w:ascii="Times New Roman" w:hAnsi="Times New Roman" w:cs="Times New Roman"/>
          <w:b/>
          <w:sz w:val="28"/>
          <w:szCs w:val="28"/>
        </w:rPr>
        <w:t>ПРОФИЛАКТИКА ШКОЛЬНОЙ ТРЕВОЖНОСТИ И ВЫГОРАНИЯ У ПОДРОСТКОВ: ПСИХОЛОГИЧЕСКИЕ ПОДХОДЫ И ОБРАЗОВАТЕЛЬНАЯ СРЕДА</w:t>
      </w:r>
    </w:p>
    <w:p w14:paraId="1FF40F4E" w14:textId="77777777" w:rsidR="00BF30B5" w:rsidRPr="00BF30B5" w:rsidRDefault="00BF30B5" w:rsidP="00BF30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10944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D2CED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5A70">
        <w:rPr>
          <w:rFonts w:ascii="Times New Roman" w:hAnsi="Times New Roman" w:cs="Times New Roman"/>
          <w:sz w:val="28"/>
          <w:szCs w:val="28"/>
        </w:rPr>
        <w:t xml:space="preserve">Период подросткового возраста отличается высокой чувствительностью к изменениям в образовательной, социальной и эмоциональной сферах. Формирование самооценки, установление социальных связей, ориентация в системе ценностей, потребность в признании и принятии, а также растущие требования со стороны школы создают плотный фон психоэмоциональной нагрузки. Именно в этом возрастном интервале нередко формируются устойчивые проявления школьной тревожности и состояния эмоционального выгорания, которые не только препятствуют успешному усвоению знаний, но и негативно сказываются на психическом здоровье подростка в долгосрочной перспективе. </w:t>
      </w:r>
    </w:p>
    <w:bookmarkEnd w:id="0"/>
    <w:p w14:paraId="66D154EA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>Тревожность как личностное качество и как ситуативная реакция является важной адаптивной функцией, обеспечивающей мобилизацию в условиях неопределённости или угрозы. Однако в условиях школьной среды тревожность часто становится неадаптивной, приобретает хронический характер и сопровождается выраженным дистрессом. Подросток, сталкиваясь с регулярными оценочными ситуациями, высокой конкуренцией, авторитарными требованиями или неоднозначными ожиданиями со стороны взрослых, может начать воспринимать школу как источник постоянной угрозы — для своей самооценки, эмоционального комфорта, статуса в коллективе. Отсюда возникают частые жалобы на соматические симптомы без органической причины — головные боли, усталость, проблемы со сном, нарушения аппетита, отказ от посещения школы, сниженная концентрация внимания, а также выраженная тревожная симптоматика перед контрольными, ответами у доски, экзаменами. Всё это указывает на истощение адаптационных ресурсов.</w:t>
      </w:r>
    </w:p>
    <w:p w14:paraId="07B38687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lastRenderedPageBreak/>
        <w:t>Психология выгорания, изначально разработанная в рамках изучения профессиональных сообществ, сегодня всё чаще применяется к подростковой популяции. Учебное выгорание у школьников проявляется в утрате интереса к обучению, снижении мотивации, ощущении бессмысленности усилий, равнодушии или раздражительности по отношению к учёбе и учителям. Психоэмоциональное истощение, деформация отношения к себе, обвинение себя в неуспешности, невозможность восстановиться даже после отдыха — все эти признаки выгорания становятся всё более распространёнными в среде учащихся средней и старшей школы. Особенно остро это проявляется у так называемых «успешных» подростков, испытывающих постоянное давление соответствия высоким требованиям — родительским ожиданиям, школьным стандартам, собственным амбициям.</w:t>
      </w:r>
    </w:p>
    <w:p w14:paraId="0D3CA3A4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 xml:space="preserve">Формирование школьной тревожности и выгорания всегда происходит во взаимодействии индивидуальных и средовых факторов. Подростки с низкой самооценкой, высокой чувствительностью к неудачам, недостаточно развитыми навыками эмоциональной регуляции, а также дети, не имеющие устойчивых отношений поддержки в значимой среде, оказываются особенно уязвимыми. Дополнительным фактором риска становится дефицит конструктивного общения со сверстниками, </w:t>
      </w:r>
      <w:proofErr w:type="spellStart"/>
      <w:r w:rsidRPr="00555A7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55A70">
        <w:rPr>
          <w:rFonts w:ascii="Times New Roman" w:hAnsi="Times New Roman" w:cs="Times New Roman"/>
          <w:sz w:val="28"/>
          <w:szCs w:val="28"/>
        </w:rPr>
        <w:t>, негативная социальная динамика, а также неблагополучный эмоциональный фон в семье.</w:t>
      </w:r>
    </w:p>
    <w:p w14:paraId="6A5E7FB3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>В этом контексте особую роль приобретает школа как пространство не только учебного, но и психосоциального развития. От того, насколько она способна стать средой принятия, понимания, безопасного эксперимента и восстановления, зависит уровень психологического благополучия подростков.</w:t>
      </w:r>
    </w:p>
    <w:p w14:paraId="4655EDEA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 xml:space="preserve">Профилактика школьной тревожности и эмоционального выгорания должна носить системный, многоуровневый характер. Основой такой работы является формирование устойчивой образовательной среды, в которой ученик ощущает себя защищённым, ценным, способным на ошибки и развитие. Поддержка со стороны учителя, признание усилий, а не только результата, возможность индивидуального темпа и выбора форм работы, эмоционально </w:t>
      </w:r>
      <w:r w:rsidRPr="00555A70">
        <w:rPr>
          <w:rFonts w:ascii="Times New Roman" w:hAnsi="Times New Roman" w:cs="Times New Roman"/>
          <w:sz w:val="28"/>
          <w:szCs w:val="28"/>
        </w:rPr>
        <w:lastRenderedPageBreak/>
        <w:t>корректная обратная связь, равноправный диалог — всё это снижает тревожный фон и препятствует формированию выгорания. Важно не только снижать давление, но и усиливать личностные ресурсы подростка: развивать навыки саморегуляции, осознанного отношения к стрессу, умение выявлять и формулировать свои потребности, обращаться за помощью, адекватно распределять усилия и отдых.</w:t>
      </w:r>
    </w:p>
    <w:p w14:paraId="6994F575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 xml:space="preserve">Педагог-психолог в школьной среде играет ключевую роль в построении профилактической работы. Его деятельность включает диагностику тревожности и выгорания с использованием валидных методик, ведение наблюдений, работу в </w:t>
      </w:r>
      <w:proofErr w:type="spellStart"/>
      <w:r w:rsidRPr="00555A70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555A70">
        <w:rPr>
          <w:rFonts w:ascii="Times New Roman" w:hAnsi="Times New Roman" w:cs="Times New Roman"/>
          <w:sz w:val="28"/>
          <w:szCs w:val="28"/>
        </w:rPr>
        <w:t>, консультирование подростков, а также просветительскую и методическую поддержку педагогов и родителей. На практике это может реализовываться через форматы групповых занятий по эмоциональному интеллекту, тренинги саморегуляции, интерактивные мастерские, направленные на снижение перфекционизма и развитие принятия, работу с мотивационными блоками. Важно при этом создавать атмосферу доверия и эмоциональной безопасности, избегать стигматизации и оценки. Особенно значимо привлечение к профилактике самих подростков — как субъектов своей жизнедеятельности, способных участвовать в разработке школьных инициатив, создавать пространство взаимопомощи и доброжелательности в среде сверстников.</w:t>
      </w:r>
    </w:p>
    <w:p w14:paraId="12998656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 xml:space="preserve">Примером успешного профилактического подхода может быть практика регулярных «эмоциональных пауз» в учебной деятельности — небольших перерывов с дыхательными упражнениями, разминкой, позитивными формулами. Даже несколько минут, посвящённых восстановлению, позволяют снизить уровень физиологического напряжения и вернуть ученика в состояние продуктивного внимания. Также эффективны форматы менторства, где старшеклассники становятся наставниками для младших, создавая атмосферу поддержки и взаимопонимания. Поддержка от «равного» часто воспринимается подростком гораздо ближе и эффективнее, чем помощь от взрослого. В этом контексте работа психолога с организацией школьных </w:t>
      </w:r>
      <w:r w:rsidRPr="00555A70">
        <w:rPr>
          <w:rFonts w:ascii="Times New Roman" w:hAnsi="Times New Roman" w:cs="Times New Roman"/>
          <w:sz w:val="28"/>
          <w:szCs w:val="28"/>
        </w:rPr>
        <w:lastRenderedPageBreak/>
        <w:t>сообществ, подростковых инициатив, форумов и арт-пространств становится мощным профилактическим инструментом.</w:t>
      </w:r>
    </w:p>
    <w:p w14:paraId="26C35C3F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 xml:space="preserve">Особого внимания требует работа с родителями. Часто именно родительские ожидания, трансляция тревожных установок, </w:t>
      </w:r>
      <w:proofErr w:type="spellStart"/>
      <w:r w:rsidRPr="00555A70">
        <w:rPr>
          <w:rFonts w:ascii="Times New Roman" w:hAnsi="Times New Roman" w:cs="Times New Roman"/>
          <w:sz w:val="28"/>
          <w:szCs w:val="28"/>
        </w:rPr>
        <w:t>гиперконтроль</w:t>
      </w:r>
      <w:proofErr w:type="spellEnd"/>
      <w:r w:rsidRPr="00555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A70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555A70">
        <w:rPr>
          <w:rFonts w:ascii="Times New Roman" w:hAnsi="Times New Roman" w:cs="Times New Roman"/>
          <w:sz w:val="28"/>
          <w:szCs w:val="28"/>
        </w:rPr>
        <w:t xml:space="preserve"> становятся скрытым источником хронического напряжения у ребёнка. Психологическое консультирование семей, проведение тематических встреч, просветительских занятий, публикации в школьных медиа позволяют создать более гармоничное понимание подросткового развития. Родителям важно осознать, что неуспешность, ошибки, колебания интереса — это не патология, а нормальные этапы становления личности, требующие не наказания, а поддержки.</w:t>
      </w:r>
    </w:p>
    <w:p w14:paraId="2FB6AFE9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>Таким образом, профилактика школьной тревожности и выгорания — это комплексная задача, выходящая за рамки индивидуальной коррекции. Это системная работа с образовательной культурой школы, формирование среды эмоционального комфорта, уважения, принятия и развития. Подростковая тревожность и выгорание — это сигналы неблагополучия в отношениях между личностью и средой. Услышав эти сигналы, взрослые получают возможность не только изменить ситуацию, но и укрепить фундамент будущей психологической устойчивости подростка.</w:t>
      </w:r>
    </w:p>
    <w:p w14:paraId="0E873B04" w14:textId="77777777" w:rsidR="00EE116F" w:rsidRPr="00555A70" w:rsidRDefault="00BF30B5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п</w:t>
      </w:r>
      <w:r w:rsidR="00555A70" w:rsidRPr="00555A70">
        <w:rPr>
          <w:rFonts w:ascii="Times New Roman" w:hAnsi="Times New Roman" w:cs="Times New Roman"/>
          <w:sz w:val="28"/>
          <w:szCs w:val="28"/>
        </w:rPr>
        <w:t>редотвращение школьной тревожности и эмоционального выгорания у подростков требует целостного подхода, охватывающего как индивидуальные особенности учащихся, так и особенности образовательной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70" w:rsidRPr="00555A70">
        <w:rPr>
          <w:rFonts w:ascii="Times New Roman" w:hAnsi="Times New Roman" w:cs="Times New Roman"/>
          <w:sz w:val="28"/>
          <w:szCs w:val="28"/>
        </w:rPr>
        <w:t xml:space="preserve">Психологическая поддержка, организация развивающего и безопасного пространства, формирование навыков саморегуляции, повышение эмоциональной грамотности, развитие культуры взаимного уважения в школьном коллективе — это ключевые направления работы педагога-психолога. Важно не только реагировать на уже проявленные признаки неблагополучия, но и вести профилактическую работу, формируя у подростков уверенность в себе, адаптационные навыки и устойчивость к стрессу. Школа, в которой подросток чувствует себя </w:t>
      </w:r>
      <w:r w:rsidR="00555A70" w:rsidRPr="00555A70">
        <w:rPr>
          <w:rFonts w:ascii="Times New Roman" w:hAnsi="Times New Roman" w:cs="Times New Roman"/>
          <w:sz w:val="28"/>
          <w:szCs w:val="28"/>
        </w:rPr>
        <w:lastRenderedPageBreak/>
        <w:t>услышанным и принятым, становится не только местом знаний, но и пространством роста, развития и сохранения психического здоровья.</w:t>
      </w:r>
    </w:p>
    <w:p w14:paraId="74EFB2DC" w14:textId="77777777" w:rsidR="00555A70" w:rsidRPr="00555A70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D9AC8" w14:textId="77777777" w:rsidR="00555A70" w:rsidRPr="00BF30B5" w:rsidRDefault="00555A70" w:rsidP="00BF30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B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117C40B" w14:textId="77777777" w:rsidR="00BF30B5" w:rsidRDefault="00555A70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0">
        <w:rPr>
          <w:rFonts w:ascii="Times New Roman" w:hAnsi="Times New Roman" w:cs="Times New Roman"/>
          <w:sz w:val="28"/>
          <w:szCs w:val="28"/>
        </w:rPr>
        <w:t xml:space="preserve">1. </w:t>
      </w:r>
      <w:r w:rsidR="00BF30B5" w:rsidRPr="00555A70">
        <w:rPr>
          <w:rFonts w:ascii="Times New Roman" w:hAnsi="Times New Roman" w:cs="Times New Roman"/>
          <w:sz w:val="28"/>
          <w:szCs w:val="28"/>
        </w:rPr>
        <w:t>Астапов, В. М</w:t>
      </w:r>
      <w:r w:rsidR="00BF30B5">
        <w:rPr>
          <w:rFonts w:ascii="Times New Roman" w:hAnsi="Times New Roman" w:cs="Times New Roman"/>
          <w:sz w:val="28"/>
          <w:szCs w:val="28"/>
        </w:rPr>
        <w:t>.</w:t>
      </w:r>
      <w:r w:rsidR="00BF30B5" w:rsidRPr="00555A70">
        <w:rPr>
          <w:rFonts w:ascii="Times New Roman" w:hAnsi="Times New Roman" w:cs="Times New Roman"/>
          <w:sz w:val="28"/>
          <w:szCs w:val="28"/>
        </w:rPr>
        <w:t xml:space="preserve"> </w:t>
      </w:r>
      <w:r w:rsidR="00BF30B5">
        <w:rPr>
          <w:rFonts w:ascii="Times New Roman" w:hAnsi="Times New Roman" w:cs="Times New Roman"/>
          <w:sz w:val="28"/>
          <w:szCs w:val="28"/>
        </w:rPr>
        <w:t>«</w:t>
      </w:r>
      <w:r w:rsidR="00BF30B5" w:rsidRPr="00555A70">
        <w:rPr>
          <w:rFonts w:ascii="Times New Roman" w:hAnsi="Times New Roman" w:cs="Times New Roman"/>
          <w:sz w:val="28"/>
          <w:szCs w:val="28"/>
        </w:rPr>
        <w:t>Тревожность у детей</w:t>
      </w:r>
      <w:r w:rsidR="00BF30B5">
        <w:rPr>
          <w:rFonts w:ascii="Times New Roman" w:hAnsi="Times New Roman" w:cs="Times New Roman"/>
          <w:sz w:val="28"/>
          <w:szCs w:val="28"/>
        </w:rPr>
        <w:t>». М.: ПЕР СЭ. – 2020,</w:t>
      </w:r>
      <w:r w:rsidR="00BF30B5" w:rsidRPr="00555A70">
        <w:rPr>
          <w:rFonts w:ascii="Times New Roman" w:hAnsi="Times New Roman" w:cs="Times New Roman"/>
          <w:sz w:val="28"/>
          <w:szCs w:val="28"/>
        </w:rPr>
        <w:t xml:space="preserve"> 160 с. </w:t>
      </w:r>
    </w:p>
    <w:p w14:paraId="67C8CE95" w14:textId="73F2E3E8" w:rsidR="00555A70" w:rsidRPr="00555A70" w:rsidRDefault="00BF30B5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A70" w:rsidRPr="00555A7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555A70" w:rsidRPr="00555A70">
        <w:rPr>
          <w:rFonts w:ascii="Times New Roman" w:hAnsi="Times New Roman" w:cs="Times New Roman"/>
          <w:sz w:val="28"/>
          <w:szCs w:val="28"/>
        </w:rPr>
        <w:t xml:space="preserve">, А. В., Румянцева, П. 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A70" w:rsidRPr="00555A70">
        <w:rPr>
          <w:rFonts w:ascii="Times New Roman" w:hAnsi="Times New Roman" w:cs="Times New Roman"/>
          <w:sz w:val="28"/>
          <w:szCs w:val="28"/>
        </w:rPr>
        <w:t>Школьная тревожность: диагностика, профилактика, к</w:t>
      </w:r>
      <w:r>
        <w:rPr>
          <w:rFonts w:ascii="Times New Roman" w:hAnsi="Times New Roman" w:cs="Times New Roman"/>
          <w:sz w:val="28"/>
          <w:szCs w:val="28"/>
        </w:rPr>
        <w:t>оррекция». СПб.: Речь. – 2024, 248 с.</w:t>
      </w:r>
    </w:p>
    <w:p w14:paraId="1DAA1C3F" w14:textId="77777777" w:rsidR="00555A70" w:rsidRPr="00BF30B5" w:rsidRDefault="00BF30B5" w:rsidP="0055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55A70" w:rsidRPr="00555A70">
        <w:rPr>
          <w:rFonts w:ascii="Times New Roman" w:hAnsi="Times New Roman" w:cs="Times New Roman"/>
          <w:sz w:val="28"/>
          <w:szCs w:val="28"/>
        </w:rPr>
        <w:t>Чуфистова</w:t>
      </w:r>
      <w:proofErr w:type="spellEnd"/>
      <w:r w:rsidR="00555A70" w:rsidRPr="00555A70">
        <w:rPr>
          <w:rFonts w:ascii="Times New Roman" w:hAnsi="Times New Roman" w:cs="Times New Roman"/>
          <w:sz w:val="28"/>
          <w:szCs w:val="28"/>
        </w:rPr>
        <w:t xml:space="preserve">, Е.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A70" w:rsidRPr="00555A70">
        <w:rPr>
          <w:rFonts w:ascii="Times New Roman" w:hAnsi="Times New Roman" w:cs="Times New Roman"/>
          <w:sz w:val="28"/>
          <w:szCs w:val="28"/>
        </w:rPr>
        <w:t>Эмоциональное выгорание у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5A70" w:rsidRPr="00555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F30B5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Фило</w:t>
      </w:r>
      <w:r w:rsidRPr="00BF30B5">
        <w:rPr>
          <w:rFonts w:ascii="Times New Roman" w:hAnsi="Times New Roman" w:cs="Times New Roman"/>
          <w:sz w:val="28"/>
          <w:szCs w:val="28"/>
        </w:rPr>
        <w:t xml:space="preserve">. – 2018, </w:t>
      </w:r>
      <w:r w:rsidR="00555A70" w:rsidRPr="00BF30B5">
        <w:rPr>
          <w:rFonts w:ascii="Times New Roman" w:hAnsi="Times New Roman" w:cs="Times New Roman"/>
          <w:sz w:val="28"/>
          <w:szCs w:val="28"/>
        </w:rPr>
        <w:t xml:space="preserve">20 </w:t>
      </w:r>
      <w:r w:rsidR="00555A70" w:rsidRPr="00555A70">
        <w:rPr>
          <w:rFonts w:ascii="Times New Roman" w:hAnsi="Times New Roman" w:cs="Times New Roman"/>
          <w:sz w:val="28"/>
          <w:szCs w:val="28"/>
        </w:rPr>
        <w:t>с</w:t>
      </w:r>
      <w:r w:rsidRPr="00BF30B5">
        <w:rPr>
          <w:rFonts w:ascii="Times New Roman" w:hAnsi="Times New Roman" w:cs="Times New Roman"/>
          <w:sz w:val="28"/>
          <w:szCs w:val="28"/>
        </w:rPr>
        <w:t>.</w:t>
      </w:r>
    </w:p>
    <w:sectPr w:rsidR="00555A70" w:rsidRPr="00BF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A6"/>
    <w:rsid w:val="000A1D46"/>
    <w:rsid w:val="00470BA6"/>
    <w:rsid w:val="00555A70"/>
    <w:rsid w:val="00B9470C"/>
    <w:rsid w:val="00BF30B5"/>
    <w:rsid w:val="00DB6389"/>
    <w:rsid w:val="00EE116F"/>
    <w:rsid w:val="00F24D52"/>
    <w:rsid w:val="00F2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9124"/>
  <w15:chartTrackingRefBased/>
  <w15:docId w15:val="{FF43566A-4ED8-4EDA-A5A7-42C2A65B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Нати</cp:lastModifiedBy>
  <cp:revision>5</cp:revision>
  <dcterms:created xsi:type="dcterms:W3CDTF">2025-04-14T11:05:00Z</dcterms:created>
  <dcterms:modified xsi:type="dcterms:W3CDTF">2025-07-07T09:23:00Z</dcterms:modified>
</cp:coreProperties>
</file>