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«Практическая значимость непрерывного самообразования тифлопедагога в условиях инклюзии»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В современных условиях инклюзивного образования самообразование тифлопедагога перестает быть просто личным развитием — оно становится ключевым фактором успешной адаптации и социализации детей с нарушениями зрения. Рассмотрим конкретные аспекты его практической значимости: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Адаптация образовательных материалов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Благодаря самообразованию педагог: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Осваивает «современные тифлотехнологии» (брайлевские дисплеи, программы экранного доступа типа JAWS, NVDA, тактильные графические пособия).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Учится преобразовывать визуальный контент в доступные форматы (аудиоописания, рельефно-графические схемы, 3D-модели).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Использует «универсальный дизайн обучения» (UDL), позволяющий подавать материал в разных модальностях (текст, аудио, тактильные элементы).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2. Индивидуализация обучения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Непрерывное самообразование помогает: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Разрабатывать персонализированные образовательные маршруты с учетом степени и характера нарушения зрения (тотальная слепота, слабовидение, сопутствующие патологии).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Внедрять «гибкие методики оценивания», адаптированные под возможности ребенка (устные ответы вместо письменных работ, использование специализированных тестов).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Подбирать «оптимальные средства коммуникации» (например, жестовое сопровождение для слепоглухих детей).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3. Эффективная работа в инклюзивной среде.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Самообразование позволяет тифлопедагогу: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Обучать «коллег и родителей» основам взаимодействия с незрячими и слабовидящими детьми (например, правилам сопровождения, использованию тифлосредств).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Формировать «толерантную среду» в классе через интерактивные занятия, направленные на понимание особенностей людей с ОВЗ.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Разрабатывать совместные проекты, в которых дети с разными возможностями участвуют на равных (театральные постановки с аудиодескрипцией, тактильные мастер-классы).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4. Профессиональная мобильность и востребованность.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Педагог, который постоянно развивается: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Может работать в разных образовательных моделях(ресурсный класс, дистанционное обучение, инклюзивные школы).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Соответствует требованиям профстандарта и ФГОС для обучающихся с ОВЗ.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Становится экспертом в своей области, востребованным для консультаций, методической работы и участия в профильных сообществах.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Вывод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Непрерывное самообразование — это не просто сбор информации, а системная работа по созданию доступной образовательной среды. Оно напрямую влияет на качество жизни детей с нарушениями зрения, их академические успехи и социализацию. Инвестируя время в собственное развитие, тифлопедагог инвестирует в будущее своих учеников.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