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567"/>
        <w:jc w:val="center"/>
        <w:spacing w:before="0" w:beforeAutospacing="0" w:after="60" w:afterAutospacing="0"/>
        <w:rPr>
          <w:sz w:val="28"/>
          <w:szCs w:val="28"/>
        </w:rPr>
      </w:pPr>
      <w:r>
        <w:rPr>
          <w:rStyle w:val="840"/>
          <w:sz w:val="28"/>
          <w:szCs w:val="28"/>
        </w:rPr>
      </w:r>
      <w:r>
        <w:rPr>
          <w:rStyle w:val="840"/>
          <w:sz w:val="28"/>
          <w:szCs w:val="28"/>
        </w:rPr>
      </w:r>
      <w:r>
        <w:rPr>
          <w:rStyle w:val="840"/>
          <w:sz w:val="28"/>
          <w:szCs w:val="28"/>
        </w:rPr>
      </w:r>
      <w:r>
        <w:rPr>
          <w:rStyle w:val="840"/>
          <w:sz w:val="28"/>
          <w:szCs w:val="28"/>
        </w:rPr>
        <w:t xml:space="preserve">ДЕМОГРАФИЧЕСКИЕ УГРОЗЫ СОЦИАЛЬНО-ЭКОНОМИЧЕСКОЙ БЕЗОПАСНОСТИ РЕГИОНА</w:t>
      </w:r>
      <w:r>
        <w:rPr>
          <w:rStyle w:val="840"/>
          <w:sz w:val="28"/>
          <w:szCs w:val="28"/>
        </w:rPr>
      </w:r>
      <w:r>
        <w:rPr>
          <w:rStyle w:val="840"/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firstLine="567"/>
        <w:jc w:val="right"/>
        <w:spacing w:before="240" w:beforeAutospacing="0" w:after="60" w:afterAutospacing="0"/>
        <w:rPr>
          <w:sz w:val="28"/>
          <w:szCs w:val="28"/>
        </w:rPr>
      </w:pPr>
      <w:r>
        <w:rPr>
          <w:rStyle w:val="841"/>
          <w:b/>
          <w:bCs/>
          <w:sz w:val="28"/>
          <w:szCs w:val="28"/>
        </w:rPr>
        <w:t xml:space="preserve">Попущенко Мария Александровна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firstLine="567"/>
        <w:jc w:val="right"/>
        <w:spacing w:before="0" w:beforeAutospacing="0" w:after="0" w:afterAutospacing="0"/>
        <w:rPr>
          <w:rStyle w:val="841"/>
          <w:sz w:val="28"/>
          <w:szCs w:val="28"/>
        </w:rPr>
      </w:pPr>
      <w:r>
        <w:rPr>
          <w:rStyle w:val="841"/>
          <w:sz w:val="28"/>
          <w:szCs w:val="28"/>
        </w:rPr>
        <w:t xml:space="preserve">студент, </w:t>
      </w:r>
      <w:r>
        <w:rPr>
          <w:rStyle w:val="841"/>
          <w:sz w:val="28"/>
          <w:szCs w:val="28"/>
        </w:rPr>
        <w:t xml:space="preserve">кафедра </w:t>
      </w:r>
      <w:r>
        <w:rPr>
          <w:rStyle w:val="841"/>
          <w:sz w:val="28"/>
          <w:szCs w:val="28"/>
        </w:rPr>
        <w:t xml:space="preserve">экономики и управления АПК</w:t>
      </w:r>
      <w:r>
        <w:rPr>
          <w:rStyle w:val="841"/>
          <w:sz w:val="28"/>
          <w:szCs w:val="28"/>
        </w:rPr>
        <w:t xml:space="preserve">,</w:t>
      </w:r>
      <w:r>
        <w:rPr>
          <w:rStyle w:val="841"/>
          <w:sz w:val="28"/>
          <w:szCs w:val="28"/>
        </w:rPr>
      </w:r>
      <w:r>
        <w:rPr>
          <w:rStyle w:val="841"/>
          <w:sz w:val="28"/>
          <w:szCs w:val="28"/>
        </w:rPr>
      </w:r>
    </w:p>
    <w:p>
      <w:pPr>
        <w:pStyle w:val="839"/>
        <w:ind w:firstLine="567"/>
        <w:jc w:val="right"/>
        <w:spacing w:before="0" w:beforeAutospacing="0" w:after="0" w:afterAutospacing="0"/>
        <w:rPr>
          <w:sz w:val="28"/>
          <w:szCs w:val="28"/>
        </w:rPr>
      </w:pPr>
      <w:r>
        <w:rPr>
          <w:rStyle w:val="841"/>
          <w:sz w:val="28"/>
          <w:szCs w:val="28"/>
        </w:rPr>
        <w:t xml:space="preserve">Красноярский государственный аграрный университет</w:t>
      </w:r>
      <w:r>
        <w:rPr>
          <w:rStyle w:val="841"/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firstLine="567"/>
        <w:jc w:val="right"/>
        <w:spacing w:before="0" w:beforeAutospacing="0" w:after="0" w:afterAutospacing="0"/>
        <w:rPr>
          <w:sz w:val="28"/>
          <w:szCs w:val="28"/>
        </w:rPr>
      </w:pPr>
      <w:r>
        <w:rPr>
          <w:rStyle w:val="841"/>
          <w:sz w:val="28"/>
          <w:szCs w:val="28"/>
        </w:rPr>
        <w:t xml:space="preserve">РФ</w:t>
      </w:r>
      <w:r>
        <w:rPr>
          <w:rStyle w:val="841"/>
          <w:sz w:val="28"/>
          <w:szCs w:val="28"/>
        </w:rPr>
        <w:t xml:space="preserve">, </w:t>
      </w:r>
      <w:r>
        <w:rPr>
          <w:rStyle w:val="841"/>
          <w:sz w:val="28"/>
          <w:szCs w:val="28"/>
        </w:rPr>
        <w:t xml:space="preserve">г</w:t>
      </w:r>
      <w:r>
        <w:rPr>
          <w:rStyle w:val="841"/>
          <w:sz w:val="28"/>
          <w:szCs w:val="28"/>
        </w:rPr>
        <w:t xml:space="preserve">.</w:t>
      </w:r>
      <w:r>
        <w:rPr>
          <w:rStyle w:val="841"/>
          <w:sz w:val="28"/>
          <w:szCs w:val="28"/>
        </w:rPr>
        <w:t xml:space="preserve"> Красноярск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firstLine="567"/>
        <w:jc w:val="right"/>
        <w:spacing w:before="0" w:beforeAutospacing="0" w:after="0" w:afterAutospacing="0"/>
        <w:rPr>
          <w:sz w:val="28"/>
          <w:szCs w:val="28"/>
        </w:rPr>
      </w:pPr>
      <w:r>
        <w:rPr>
          <w:rStyle w:val="841"/>
          <w:sz w:val="28"/>
          <w:szCs w:val="28"/>
        </w:rPr>
        <w:t xml:space="preserve">Е</w:t>
      </w:r>
      <w:r>
        <w:rPr>
          <w:rStyle w:val="841"/>
          <w:sz w:val="28"/>
          <w:szCs w:val="28"/>
        </w:rPr>
        <w:t xml:space="preserve">-</w:t>
      </w:r>
      <w:r>
        <w:rPr>
          <w:rStyle w:val="841"/>
          <w:sz w:val="28"/>
          <w:szCs w:val="28"/>
          <w:lang w:val="en-US"/>
        </w:rPr>
        <w:t xml:space="preserve">mail</w:t>
      </w:r>
      <w:r>
        <w:rPr>
          <w:rStyle w:val="841"/>
          <w:sz w:val="28"/>
          <w:szCs w:val="28"/>
        </w:rPr>
        <w:t xml:space="preserve">: </w:t>
      </w:r>
      <w:r>
        <w:rPr>
          <w:rStyle w:val="841"/>
          <w:sz w:val="28"/>
          <w:szCs w:val="28"/>
          <w:lang w:val="en-US"/>
        </w:rPr>
        <w:t xml:space="preserve">mariaa.vishnevskay@gmail.com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firstLine="567"/>
        <w:jc w:val="right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39"/>
        <w:ind w:firstLine="567"/>
        <w:jc w:val="center"/>
        <w:spacing w:before="0" w:beforeAutospacing="0" w:after="60" w:afterAutospacing="0"/>
        <w:rPr>
          <w:rStyle w:val="840"/>
          <w:sz w:val="28"/>
          <w:szCs w:val="28"/>
          <w:lang w:val="en-US"/>
        </w:rPr>
      </w:pPr>
      <w:r>
        <w:rPr>
          <w:rStyle w:val="840"/>
          <w:sz w:val="28"/>
          <w:szCs w:val="28"/>
          <w:lang w:val="en-US"/>
        </w:rPr>
      </w:r>
      <w:r>
        <w:rPr>
          <w:rStyle w:val="840"/>
          <w:sz w:val="28"/>
          <w:szCs w:val="28"/>
          <w:lang w:val="en-US"/>
        </w:rPr>
      </w:r>
      <w:r>
        <w:rPr>
          <w:rStyle w:val="840"/>
          <w:sz w:val="28"/>
          <w:szCs w:val="28"/>
          <w:lang w:val="en-US"/>
        </w:rPr>
      </w:r>
      <w:r>
        <w:rPr>
          <w:rStyle w:val="840"/>
          <w:sz w:val="28"/>
          <w:szCs w:val="28"/>
          <w:lang w:val="en-US"/>
        </w:rPr>
        <w:t xml:space="preserve">DEMOGRAPHIC THREATS TO REGIONAL SOCIO-ECONOMIC SECURITY</w:t>
      </w:r>
      <w:r>
        <w:rPr>
          <w:rStyle w:val="840"/>
          <w:sz w:val="28"/>
          <w:szCs w:val="28"/>
          <w:lang w:val="en-US"/>
        </w:rPr>
      </w:r>
      <w:r>
        <w:rPr>
          <w:rStyle w:val="840"/>
          <w:sz w:val="28"/>
          <w:szCs w:val="28"/>
          <w:lang w:val="en-US"/>
        </w:rPr>
      </w:r>
      <w:r>
        <w:rPr>
          <w:rStyle w:val="840"/>
          <w:sz w:val="28"/>
          <w:szCs w:val="28"/>
          <w:lang w:val="en-US"/>
        </w:rPr>
      </w:r>
    </w:p>
    <w:p>
      <w:pPr>
        <w:pStyle w:val="839"/>
        <w:ind w:firstLine="567"/>
        <w:jc w:val="right"/>
        <w:spacing w:before="240" w:beforeAutospacing="0" w:after="60" w:afterAutospacing="0"/>
        <w:rPr>
          <w:sz w:val="28"/>
          <w:szCs w:val="28"/>
          <w:lang w:val="en-US"/>
        </w:rPr>
      </w:pPr>
      <w:r>
        <w:rPr>
          <w:rStyle w:val="841"/>
          <w:b/>
          <w:bCs/>
          <w:sz w:val="28"/>
          <w:szCs w:val="28"/>
          <w:lang w:val="en-US"/>
        </w:rPr>
      </w:r>
      <w:r>
        <w:rPr>
          <w:rStyle w:val="841"/>
          <w:b/>
          <w:bCs/>
          <w:sz w:val="28"/>
          <w:szCs w:val="28"/>
          <w:lang w:val="en-US"/>
        </w:rPr>
        <w:t xml:space="preserve">Popuchenko Maria Alexandrovna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39"/>
        <w:ind w:firstLine="567"/>
        <w:jc w:val="right"/>
        <w:spacing w:before="0" w:beforeAutospacing="0" w:after="0" w:afterAutospacing="0"/>
      </w:pPr>
      <w:r>
        <w:rPr>
          <w:rStyle w:val="841"/>
          <w:sz w:val="28"/>
          <w:szCs w:val="28"/>
          <w:lang w:val="en-US"/>
        </w:rPr>
        <w:t xml:space="preserve">student, Department of Economics and Agricultural Management,</w:t>
      </w:r>
      <w:r>
        <w:rPr>
          <w:rStyle w:val="841"/>
          <w:sz w:val="28"/>
          <w:szCs w:val="28"/>
          <w:lang w:val="en-US"/>
        </w:rPr>
      </w:r>
      <w:r/>
    </w:p>
    <w:p>
      <w:pPr>
        <w:pStyle w:val="839"/>
        <w:ind w:firstLine="567"/>
        <w:jc w:val="right"/>
        <w:spacing w:before="0" w:beforeAutospacing="0" w:after="0" w:afterAutospacing="0"/>
      </w:pPr>
      <w:r>
        <w:rPr>
          <w:rStyle w:val="841"/>
          <w:sz w:val="28"/>
          <w:szCs w:val="28"/>
          <w:lang w:val="en-US"/>
        </w:rPr>
        <w:t xml:space="preserve">Krasnoyarsk State Agrarian University,</w:t>
      </w:r>
      <w:r>
        <w:rPr>
          <w:rStyle w:val="841"/>
          <w:sz w:val="28"/>
          <w:szCs w:val="28"/>
          <w:lang w:val="en-US"/>
        </w:rPr>
      </w:r>
      <w:r/>
    </w:p>
    <w:p>
      <w:pPr>
        <w:pStyle w:val="839"/>
        <w:ind w:firstLine="567"/>
        <w:jc w:val="right"/>
        <w:spacing w:before="0" w:beforeAutospacing="0" w:after="0" w:afterAutospacing="0"/>
      </w:pPr>
      <w:r>
        <w:rPr>
          <w:rStyle w:val="841"/>
          <w:sz w:val="28"/>
          <w:szCs w:val="28"/>
          <w:lang w:val="en-US"/>
        </w:rPr>
        <w:t xml:space="preserve">Russian Federation, Krasnoyarsk</w:t>
      </w:r>
      <w:r>
        <w:rPr>
          <w:rStyle w:val="841"/>
          <w:sz w:val="28"/>
          <w:szCs w:val="28"/>
          <w:lang w:val="en-US"/>
        </w:rPr>
      </w:r>
      <w:r/>
    </w:p>
    <w:p>
      <w:pPr>
        <w:pStyle w:val="839"/>
        <w:ind w:firstLine="567"/>
        <w:jc w:val="right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rStyle w:val="841"/>
          <w:sz w:val="28"/>
          <w:szCs w:val="28"/>
          <w:lang w:val="en-US"/>
        </w:rPr>
        <w:t xml:space="preserve">E-mail: mariaa.vishnevskay@gmail.com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39"/>
        <w:ind w:firstLine="567"/>
        <w:jc w:val="center"/>
        <w:spacing w:before="0" w:beforeAutospacing="0" w:after="0" w:afterAutospacing="0" w:line="360" w:lineRule="auto"/>
        <w:rPr>
          <w:rStyle w:val="840"/>
          <w:sz w:val="28"/>
          <w:szCs w:val="28"/>
        </w:rPr>
      </w:pPr>
      <w:r>
        <w:rPr>
          <w:sz w:val="28"/>
          <w:szCs w:val="28"/>
        </w:rPr>
      </w:r>
      <w:r>
        <w:rPr>
          <w:rStyle w:val="840"/>
          <w:sz w:val="28"/>
          <w:szCs w:val="28"/>
        </w:rPr>
      </w:r>
      <w:r>
        <w:rPr>
          <w:rStyle w:val="840"/>
          <w:sz w:val="28"/>
          <w:szCs w:val="28"/>
        </w:rPr>
      </w:r>
    </w:p>
    <w:p>
      <w:pPr>
        <w:pStyle w:val="839"/>
        <w:ind w:firstLine="567"/>
        <w:jc w:val="center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840"/>
          <w:sz w:val="28"/>
          <w:szCs w:val="28"/>
        </w:rPr>
        <w:t xml:space="preserve">АННОТАЦИЯ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firstLine="567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статье исследуются ключевые демографические вызовы, угрожающие социально-экономической стабильности регионов России. Анализируется влияние старения населения и миграционных процессов на трудовой потенциал, систему социального обеспечения и экономический р</w:t>
      </w:r>
      <w:r>
        <w:rPr>
          <w:sz w:val="28"/>
          <w:szCs w:val="28"/>
        </w:rPr>
        <w:t xml:space="preserve">ост. Особое внимание уделено дифференциации демографических тенденций в регионах с различным уровнем развития. На основе данных Росстата за 2020-2023 гг. выявлены наиболее уязвимые территории и предложен комплекс мер демографической политики, включая поддер</w:t>
      </w:r>
      <w:r>
        <w:rPr>
          <w:sz w:val="28"/>
          <w:szCs w:val="28"/>
        </w:rPr>
        <w:t xml:space="preserve">жку молодых семей и регулируемые программы трудовой миграции.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firstLine="567"/>
        <w:jc w:val="center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rStyle w:val="840"/>
          <w:sz w:val="28"/>
          <w:szCs w:val="28"/>
          <w:highlight w:val="none"/>
          <w:lang w:val="en-US"/>
        </w:rPr>
      </w:r>
      <w:r>
        <w:rPr>
          <w:rStyle w:val="840"/>
          <w:sz w:val="28"/>
          <w:szCs w:val="28"/>
          <w:highlight w:val="none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39"/>
        <w:ind w:firstLine="567"/>
        <w:jc w:val="center"/>
        <w:spacing w:before="0" w:beforeAutospacing="0" w:after="0" w:afterAutospacing="0" w:line="360" w:lineRule="auto"/>
        <w:rPr>
          <w:rStyle w:val="840"/>
          <w:sz w:val="28"/>
          <w:szCs w:val="28"/>
          <w:highlight w:val="none"/>
          <w:lang w:val="en-US"/>
        </w:rPr>
      </w:pPr>
      <w:r>
        <w:rPr>
          <w:rStyle w:val="840"/>
          <w:sz w:val="28"/>
          <w:szCs w:val="28"/>
          <w:lang w:val="en-US"/>
        </w:rPr>
        <w:t xml:space="preserve">ABSTRACT</w:t>
      </w:r>
      <w:r>
        <w:rPr>
          <w:rStyle w:val="840"/>
          <w:sz w:val="28"/>
          <w:szCs w:val="28"/>
          <w:highlight w:val="none"/>
          <w:lang w:val="en-US"/>
        </w:rPr>
      </w:r>
      <w:r>
        <w:rPr>
          <w:rStyle w:val="840"/>
          <w:sz w:val="28"/>
          <w:szCs w:val="28"/>
          <w:highlight w:val="none"/>
          <w:lang w:val="en-US"/>
        </w:rPr>
      </w:r>
    </w:p>
    <w:p>
      <w:pPr>
        <w:pStyle w:val="839"/>
        <w:ind w:firstLine="567"/>
        <w:jc w:val="both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The article examines key demographic challenges threatening the socio-economic stability of Russian regions. It analyzes the impact of population aging and migration processes on labor potential, social security systems, and economic growth. Particular atte</w:t>
      </w:r>
      <w:r>
        <w:rPr>
          <w:sz w:val="28"/>
          <w:szCs w:val="28"/>
          <w:lang w:val="en-US"/>
        </w:rPr>
        <w:t xml:space="preserve">ntion is paid to the differentiation of demographic trends in regions with varying development levels. Based on Rosstat data for 2020-2023, the most vulnerable territories are identified, and a set of demographic policy measures is proposed, including suppo</w:t>
      </w:r>
      <w:r>
        <w:rPr>
          <w:sz w:val="28"/>
          <w:szCs w:val="28"/>
          <w:lang w:val="en-US"/>
        </w:rPr>
        <w:t xml:space="preserve">rt for young families and regulated labor migration programs.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39"/>
        <w:ind w:firstLine="567"/>
        <w:jc w:val="both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39"/>
        <w:ind w:firstLine="567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840"/>
          <w:sz w:val="28"/>
          <w:szCs w:val="28"/>
        </w:rPr>
        <w:t xml:space="preserve">Ключевые слова: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демографические угрозы, социально-экономическая безопасность, старение населения, миграция, региональное развитие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39"/>
        <w:ind w:firstLine="567"/>
        <w:jc w:val="both"/>
        <w:spacing w:before="0" w:beforeAutospacing="0" w:after="0" w:afterAutospacing="0" w:line="360" w:lineRule="auto"/>
        <w:rPr>
          <w:sz w:val="28"/>
          <w:szCs w:val="28"/>
          <w14:ligatures w14:val="none"/>
        </w:rPr>
      </w:pPr>
      <w:r>
        <w:rPr>
          <w:rStyle w:val="840"/>
          <w:sz w:val="28"/>
          <w:szCs w:val="28"/>
          <w:lang w:val="en-US"/>
        </w:rPr>
        <w:t xml:space="preserve">Keywords:</w:t>
      </w:r>
      <w:r>
        <w:rPr>
          <w:rStyle w:val="84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demographic threats, socio-economic security, population aging, migration, regional development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14:ligatures w14:val="none"/>
        </w:rPr>
      </w:r>
    </w:p>
    <w:p>
      <w:pPr>
        <w:pStyle w:val="839"/>
        <w:ind w:firstLine="567"/>
        <w:jc w:val="both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39"/>
        <w:ind w:left="0" w:right="0" w:firstLine="709"/>
        <w:jc w:val="both"/>
        <w:spacing w:before="0" w:beforeAutospacing="0" w:after="0" w:afterAutospacing="0" w:line="360" w:lineRule="auto"/>
      </w:pPr>
      <w:r>
        <w:rPr>
          <w:sz w:val="28"/>
          <w:szCs w:val="28"/>
        </w:rPr>
        <w:t xml:space="preserve">Современные демографические процессы в России характеризуются усилением региональной дифференциации, что создает значительные риски для социально-экономической стабильности территорий. Согласно данным Росстата, за последние десять лет различия между субъект</w:t>
      </w:r>
      <w:r>
        <w:rPr>
          <w:sz w:val="28"/>
          <w:szCs w:val="28"/>
        </w:rPr>
        <w:t xml:space="preserve">ами Российской Федерации по ключевым демографическим показателям увеличились в 1,8 раза, что способствует углублению межрегиональных диспропорций. Наиболее тревожной тенденцией является сочетание трех взаимосвязанных факторов: прогрессирующего старения насе</w:t>
      </w:r>
      <w:r>
        <w:rPr>
          <w:sz w:val="28"/>
          <w:szCs w:val="28"/>
        </w:rPr>
        <w:t xml:space="preserve">ления, устойчивого оттока экономически активного населения из депрессивных регионов и концентрации миграционных потоков в ограниченном числе субъектов федерации. Эти процессы оказывают комплексное влияние на экономику, социальную сферу и инфраструктуру реги</w:t>
      </w:r>
      <w:r>
        <w:rPr>
          <w:sz w:val="28"/>
          <w:szCs w:val="28"/>
        </w:rPr>
        <w:t xml:space="preserve">онов, требуя разработки дифференцированных мер демографической политики.</w:t>
      </w:r>
      <w:r>
        <w:rPr>
          <w:sz w:val="28"/>
          <w:szCs w:val="28"/>
        </w:rPr>
      </w:r>
    </w:p>
    <w:p>
      <w:pPr>
        <w:pStyle w:val="839"/>
        <w:ind w:left="0" w:right="0" w:firstLine="709"/>
        <w:jc w:val="both"/>
        <w:spacing w:before="0" w:beforeAutospacing="0" w:after="0" w:afterAutospacing="0" w:line="360" w:lineRule="auto"/>
      </w:pPr>
      <w:r>
        <w:rPr>
          <w:sz w:val="28"/>
          <w:szCs w:val="28"/>
        </w:rPr>
        <w:t xml:space="preserve">Одним из наиболее значимых факторов, определяющих современную демографическую динамику, является старение населения. Данный процесс оказывает многоплановое воздействие на экономическую систему региона. В первую очередь, увеличивается демографическая нагрузк</w:t>
      </w:r>
      <w:r>
        <w:rPr>
          <w:sz w:val="28"/>
          <w:szCs w:val="28"/>
        </w:rPr>
        <w:t xml:space="preserve">а на трудоспособное население: в 2023 году в 15 субъектах РФ этот показатель превысил 700 нетрудоспособных на 1000 работающих, что существенно выше среднероссийского уровня. Подобная диспропорция ведет к росту фискальной нагрузки на бюджет, поскольку требуе</w:t>
      </w:r>
      <w:r>
        <w:rPr>
          <w:sz w:val="28"/>
          <w:szCs w:val="28"/>
        </w:rPr>
        <w:t xml:space="preserve">т увеличения расходов на пенсионное обеспечение, здравоохранение и социальные программы.</w:t>
      </w:r>
      <w:r>
        <w:rPr>
          <w:sz w:val="28"/>
          <w:szCs w:val="28"/>
        </w:rPr>
      </w:r>
    </w:p>
    <w:p>
      <w:pPr>
        <w:pStyle w:val="839"/>
        <w:ind w:left="0" w:right="0" w:firstLine="709"/>
        <w:jc w:val="both"/>
        <w:spacing w:before="0" w:beforeAutospacing="0" w:after="0" w:afterAutospacing="0" w:line="360" w:lineRule="auto"/>
      </w:pPr>
      <w:r>
        <w:rPr>
          <w:sz w:val="28"/>
          <w:szCs w:val="28"/>
        </w:rPr>
        <w:t xml:space="preserve">Во-вторых, старение населения сопровождается трансформацией структуры потребительского спроса и занятости. Сокращение доли молодежи и рост численности пожилых граждан обусловливают необходимость переориентации социальной инфраструктуры, включая здравоохране</w:t>
      </w:r>
      <w:r>
        <w:rPr>
          <w:sz w:val="28"/>
          <w:szCs w:val="28"/>
        </w:rPr>
        <w:t xml:space="preserve">ние, жилищно-коммунальное хозяйство и сферу услуг. Особое значение приобретает развитие геронтологических и паллиативных медицинских услуг, поскольку расходы на медицинское обслуживание лиц старшего возраста в среднем в 4,7 раза превышают затраты на молодые</w:t>
      </w:r>
      <w:r>
        <w:rPr>
          <w:sz w:val="28"/>
          <w:szCs w:val="28"/>
        </w:rPr>
        <w:t xml:space="preserve"> возрастные группы.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0" w:firstLine="709"/>
        <w:jc w:val="both"/>
        <w:spacing w:before="0" w:beforeAutospacing="0" w:after="0" w:afterAutospacing="0" w:line="360" w:lineRule="auto"/>
      </w:pPr>
      <w:r>
        <w:rPr>
          <w:sz w:val="28"/>
          <w:szCs w:val="28"/>
        </w:rPr>
        <w:t xml:space="preserve">Параллельно с этим миграционные процессы усугубляют существующие диспропорции. Исследования РАНХиГС свидетельствуют, что 78% внутренних мигрантов составляют лица в возрасте 20–35 лет, обладающие высшим или средним профессиональным образованием. Их отток из </w:t>
      </w:r>
      <w:r>
        <w:rPr>
          <w:sz w:val="28"/>
          <w:szCs w:val="28"/>
        </w:rPr>
        <w:t xml:space="preserve">регионов с неблагоприятной экономической ситуацией приводит к истощению человеческого капитала и снижению инновационного потенциала территорий. В то же время принимающие регионы сталкиваются с проблемами перенаселения, что создает дополнительную нагрузку на</w:t>
      </w:r>
      <w:r>
        <w:rPr>
          <w:sz w:val="28"/>
          <w:szCs w:val="28"/>
        </w:rPr>
        <w:t xml:space="preserve"> инфраструктуру, рынок труда и социальные службы.</w:t>
      </w:r>
      <w:r>
        <w:rPr>
          <w:sz w:val="28"/>
          <w:szCs w:val="28"/>
        </w:rPr>
      </w:r>
    </w:p>
    <w:p>
      <w:pPr>
        <w:pStyle w:val="839"/>
        <w:ind w:left="0" w:right="0" w:firstLine="709"/>
        <w:jc w:val="both"/>
        <w:spacing w:before="0" w:beforeAutospacing="0" w:after="0" w:afterAutospacing="0" w:line="360" w:lineRule="auto"/>
      </w:pPr>
      <w:r>
        <w:rPr>
          <w:sz w:val="28"/>
          <w:szCs w:val="28"/>
        </w:rPr>
        <w:t xml:space="preserve">Эффективная демографическая политика должна учитывать региональную специфику и включать комплекс мер, направленных как на стимулирование естественного прироста населения, так и на регулирование миграционных потоков. В регионах с критическим снижением числен</w:t>
      </w:r>
      <w:r>
        <w:rPr>
          <w:sz w:val="28"/>
          <w:szCs w:val="28"/>
        </w:rPr>
        <w:t xml:space="preserve">ности населения приоритетной задачей является поддержка молодых семей. Опыт таких субъектов, как Татарстан и Белгородская область, демонстрирует, что реализация комплексных программ, включающих жилищные субсидии, повышение детских пособий и развитие социаль</w:t>
      </w:r>
      <w:r>
        <w:rPr>
          <w:sz w:val="28"/>
          <w:szCs w:val="28"/>
        </w:rPr>
        <w:t xml:space="preserve">ной инфраструктуры, способна увеличить коэффициент рождаемости на 15–20% в течение 5–7 лет.</w:t>
      </w:r>
      <w:r>
        <w:rPr>
          <w:sz w:val="28"/>
          <w:szCs w:val="28"/>
        </w:rPr>
      </w:r>
    </w:p>
    <w:p>
      <w:pPr>
        <w:pStyle w:val="839"/>
        <w:ind w:left="0" w:right="0" w:firstLine="709"/>
        <w:jc w:val="both"/>
        <w:spacing w:before="0" w:beforeAutospacing="0" w:after="0" w:afterAutospacing="0" w:line="360" w:lineRule="auto"/>
      </w:pPr>
      <w:r>
        <w:rPr>
          <w:sz w:val="28"/>
          <w:szCs w:val="28"/>
        </w:rPr>
        <w:t xml:space="preserve">Важным направлением является также регулирование миграции, которое должно быть ориентировано на сокращение оттока квалифицированных кадров из депрессивных регионов. В этой связи целесообразно создание системы экономических стимулов, включающих налоговые льг</w:t>
      </w:r>
      <w:r>
        <w:rPr>
          <w:sz w:val="28"/>
          <w:szCs w:val="28"/>
        </w:rPr>
        <w:t xml:space="preserve">оты для работодателей, программы льготного ипотечного кредитования и развитие образовательной инфраструктуры. Одновременно следует разрабатывать целевые программы по привлечению соотечественников из-за рубежа, что может частично компенсировать убыль населен</w:t>
      </w:r>
      <w:r>
        <w:rPr>
          <w:sz w:val="28"/>
          <w:szCs w:val="28"/>
        </w:rPr>
        <w:t xml:space="preserve">ия в стратегически важных регионах.</w:t>
      </w:r>
      <w:r>
        <w:rPr>
          <w:sz w:val="28"/>
          <w:szCs w:val="28"/>
        </w:rPr>
      </w:r>
    </w:p>
    <w:p>
      <w:pPr>
        <w:pStyle w:val="839"/>
        <w:ind w:left="0" w:right="0"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Современные демографические тенденции в России формируют серьезные вызовы для социально-экономического развития регионов. Углубление дифференциации между субъектами РФ по показателям рождаемости, смертности и миграции требует системного подхода, сочетающего</w:t>
      </w:r>
      <w:r>
        <w:rPr>
          <w:sz w:val="28"/>
          <w:szCs w:val="28"/>
        </w:rPr>
        <w:t xml:space="preserve"> меры социальной поддержки, регулирование трудовой мобильности и стимулирование экономического роста в депрессивных территориях. Опыт отдельных регионов свидетельствует о возможности стабилизации демографической ситуации при условии долгосрочного финансиров</w:t>
      </w:r>
      <w:r>
        <w:rPr>
          <w:sz w:val="28"/>
          <w:szCs w:val="28"/>
        </w:rPr>
        <w:t xml:space="preserve">ания и эффективной координации между федеральным центром и субъектами РФ. Реализация дифференцированной демографической политики позволит смягчить негативные последствия старения населения и миграционного оттока, способствуя устойчивому развитию российских </w:t>
      </w:r>
      <w:r>
        <w:rPr>
          <w:sz w:val="28"/>
          <w:szCs w:val="28"/>
        </w:rPr>
        <w:t xml:space="preserve">регионов.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rmal (Web)"/>
    <w:basedOn w:val="8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>
    <w:name w:val="Strong"/>
    <w:basedOn w:val="836"/>
    <w:uiPriority w:val="22"/>
    <w:qFormat/>
    <w:rPr>
      <w:b/>
      <w:bCs/>
    </w:rPr>
  </w:style>
  <w:style w:type="character" w:styleId="841">
    <w:name w:val="Emphasis"/>
    <w:basedOn w:val="836"/>
    <w:uiPriority w:val="20"/>
    <w:qFormat/>
    <w:rPr>
      <w:i/>
      <w:iCs/>
    </w:rPr>
  </w:style>
  <w:style w:type="table" w:styleId="842">
    <w:name w:val="Table Grid"/>
    <w:basedOn w:val="8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3">
    <w:name w:val="Placeholder Text"/>
    <w:basedOn w:val="836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7366-4FEA-4916-9396-A167E0E1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popushchenko</cp:lastModifiedBy>
  <cp:revision>11</cp:revision>
  <dcterms:created xsi:type="dcterms:W3CDTF">2020-12-20T09:00:00Z</dcterms:created>
  <dcterms:modified xsi:type="dcterms:W3CDTF">2025-06-19T05:06:29Z</dcterms:modified>
</cp:coreProperties>
</file>