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86E2" w14:textId="77777777" w:rsidR="004A6322" w:rsidRDefault="00000000">
      <w:pPr>
        <w:pBdr>
          <w:bottom w:val="single" w:sz="6" w:space="1" w:color="auto"/>
        </w:pBdr>
        <w:suppressAutoHyphens/>
        <w:ind w:left="-709"/>
        <w:rPr>
          <w:rStyle w:val="ad"/>
          <w:szCs w:val="28"/>
          <w:shd w:val="clear" w:color="auto" w:fill="FFFFFF"/>
        </w:rPr>
      </w:pPr>
      <w:r>
        <w:rPr>
          <w:rStyle w:val="ad"/>
          <w:szCs w:val="28"/>
          <w:shd w:val="clear" w:color="auto" w:fill="FFFFFF"/>
        </w:rPr>
        <w:t>УДК 336.22</w:t>
      </w:r>
    </w:p>
    <w:p w14:paraId="50F662A5" w14:textId="77777777" w:rsidR="004A6322" w:rsidRDefault="004A6322">
      <w:pPr>
        <w:suppressAutoHyphens/>
        <w:spacing w:after="0"/>
        <w:ind w:left="-709"/>
        <w:contextualSpacing/>
        <w:rPr>
          <w:rStyle w:val="ad"/>
          <w:i/>
          <w:szCs w:val="28"/>
          <w:shd w:val="clear" w:color="auto" w:fill="FFFFFF"/>
        </w:rPr>
      </w:pPr>
    </w:p>
    <w:p w14:paraId="17333161" w14:textId="77777777" w:rsidR="004A6322" w:rsidRDefault="00000000">
      <w:pPr>
        <w:suppressAutoHyphens/>
        <w:spacing w:after="0"/>
        <w:ind w:left="-709"/>
        <w:contextualSpacing/>
        <w:rPr>
          <w:rFonts w:eastAsia="Times New Roman"/>
        </w:rPr>
      </w:pPr>
      <w:r>
        <w:rPr>
          <w:rFonts w:eastAsia="Times New Roman"/>
          <w:b/>
          <w:i/>
          <w:szCs w:val="28"/>
          <w:shd w:val="clear" w:color="auto" w:fill="FFFFFF"/>
        </w:rPr>
        <w:t>Мальцев О.В.,</w:t>
      </w:r>
    </w:p>
    <w:p w14:paraId="21FA1D1F" w14:textId="4CC1F3D4" w:rsidR="004A6322" w:rsidRDefault="00000000">
      <w:pPr>
        <w:suppressAutoHyphens/>
        <w:spacing w:after="0"/>
        <w:ind w:left="-709"/>
        <w:contextualSpacing/>
        <w:rPr>
          <w:rFonts w:eastAsia="Times New Roman"/>
          <w:i/>
          <w:szCs w:val="28"/>
          <w:shd w:val="clear" w:color="auto" w:fill="FFFFFF"/>
        </w:rPr>
      </w:pPr>
      <w:r>
        <w:rPr>
          <w:rFonts w:eastAsia="Times New Roman"/>
          <w:i/>
          <w:szCs w:val="28"/>
          <w:shd w:val="clear" w:color="auto" w:fill="FFFFFF"/>
        </w:rPr>
        <w:t>пр</w:t>
      </w:r>
      <w:r w:rsidR="00616644">
        <w:rPr>
          <w:rFonts w:eastAsia="Times New Roman"/>
          <w:i/>
          <w:szCs w:val="28"/>
          <w:shd w:val="clear" w:color="auto" w:fill="FFFFFF"/>
        </w:rPr>
        <w:t>офессор</w:t>
      </w:r>
      <w:r>
        <w:rPr>
          <w:rFonts w:eastAsia="Times New Roman"/>
          <w:i/>
          <w:szCs w:val="28"/>
          <w:shd w:val="clear" w:color="auto" w:fill="FFFFFF"/>
        </w:rPr>
        <w:t xml:space="preserve"> кафедры гражданско-правовых дисциплин,</w:t>
      </w:r>
    </w:p>
    <w:p w14:paraId="133C01A9" w14:textId="77777777" w:rsidR="004A6322" w:rsidRDefault="00000000">
      <w:pPr>
        <w:suppressAutoHyphens/>
        <w:spacing w:after="0"/>
        <w:ind w:left="-709"/>
        <w:contextualSpacing/>
        <w:rPr>
          <w:rFonts w:eastAsia="Times New Roman"/>
          <w:i/>
          <w:szCs w:val="28"/>
          <w:shd w:val="clear" w:color="auto" w:fill="FFFFFF"/>
        </w:rPr>
      </w:pPr>
      <w:r>
        <w:rPr>
          <w:rFonts w:eastAsia="Times New Roman"/>
          <w:i/>
          <w:szCs w:val="28"/>
          <w:shd w:val="clear" w:color="auto" w:fill="FFFFFF"/>
        </w:rPr>
        <w:t>ФКОУ ВО Пермский институт ФСИН России,</w:t>
      </w:r>
    </w:p>
    <w:p w14:paraId="00186A3E" w14:textId="77777777" w:rsidR="004A6322" w:rsidRDefault="00000000">
      <w:pPr>
        <w:suppressAutoHyphens/>
        <w:spacing w:after="0"/>
        <w:ind w:left="-709"/>
        <w:contextualSpacing/>
        <w:rPr>
          <w:rFonts w:eastAsia="Times New Roman"/>
          <w:i/>
          <w:szCs w:val="28"/>
          <w:shd w:val="clear" w:color="auto" w:fill="FFFFFF"/>
        </w:rPr>
      </w:pPr>
      <w:r>
        <w:rPr>
          <w:rFonts w:eastAsia="Times New Roman"/>
          <w:i/>
          <w:szCs w:val="28"/>
          <w:shd w:val="clear" w:color="auto" w:fill="FFFFFF"/>
        </w:rPr>
        <w:t xml:space="preserve"> </w:t>
      </w:r>
    </w:p>
    <w:p w14:paraId="43B088B1" w14:textId="77777777" w:rsidR="004A6322" w:rsidRDefault="004A6322">
      <w:pPr>
        <w:suppressAutoHyphens/>
        <w:spacing w:after="0"/>
        <w:ind w:left="-709"/>
        <w:contextualSpacing/>
        <w:rPr>
          <w:rFonts w:eastAsia="Times New Roman"/>
          <w:i/>
          <w:szCs w:val="28"/>
          <w:shd w:val="clear" w:color="auto" w:fill="FFFFFF"/>
        </w:rPr>
      </w:pPr>
    </w:p>
    <w:p w14:paraId="6678C2AB" w14:textId="77777777" w:rsidR="004A6322" w:rsidRDefault="00000000">
      <w:pPr>
        <w:suppressAutoHyphens/>
        <w:spacing w:after="0"/>
        <w:ind w:left="-709"/>
        <w:contextualSpacing/>
        <w:rPr>
          <w:rStyle w:val="ad"/>
          <w:rFonts w:asciiTheme="minorHAnsi" w:hAnsiTheme="minorHAnsi"/>
        </w:rPr>
      </w:pPr>
      <w:r>
        <w:rPr>
          <w:rStyle w:val="ad"/>
          <w:i/>
          <w:szCs w:val="28"/>
          <w:shd w:val="clear" w:color="auto" w:fill="FFFFFF"/>
        </w:rPr>
        <w:t>Чудаев К.С.,</w:t>
      </w:r>
    </w:p>
    <w:p w14:paraId="41D115D4" w14:textId="77777777" w:rsidR="004A6322" w:rsidRDefault="00000000">
      <w:pPr>
        <w:suppressAutoHyphens/>
        <w:spacing w:after="0"/>
        <w:ind w:left="-709"/>
        <w:contextualSpacing/>
        <w:rPr>
          <w:rStyle w:val="ad"/>
          <w:b w:val="0"/>
          <w:i/>
          <w:szCs w:val="28"/>
          <w:shd w:val="clear" w:color="auto" w:fill="FFFFFF"/>
        </w:rPr>
      </w:pPr>
      <w:r>
        <w:rPr>
          <w:rStyle w:val="ad"/>
          <w:i/>
          <w:szCs w:val="28"/>
          <w:shd w:val="clear" w:color="auto" w:fill="FFFFFF"/>
        </w:rPr>
        <w:t>курсант 3 курса,</w:t>
      </w:r>
    </w:p>
    <w:p w14:paraId="0D3F3B96" w14:textId="77777777" w:rsidR="004A6322" w:rsidRDefault="00000000">
      <w:pPr>
        <w:suppressAutoHyphens/>
        <w:spacing w:after="0"/>
        <w:ind w:left="-709"/>
        <w:contextualSpacing/>
        <w:rPr>
          <w:rStyle w:val="ad"/>
          <w:b w:val="0"/>
          <w:i/>
          <w:szCs w:val="28"/>
          <w:shd w:val="clear" w:color="auto" w:fill="FFFFFF"/>
        </w:rPr>
      </w:pPr>
      <w:r>
        <w:rPr>
          <w:rStyle w:val="ad"/>
          <w:i/>
          <w:szCs w:val="28"/>
          <w:shd w:val="clear" w:color="auto" w:fill="FFFFFF"/>
        </w:rPr>
        <w:t>ФКОУ ВО Пермский институт ФСИН России,</w:t>
      </w:r>
    </w:p>
    <w:p w14:paraId="4DDDAD9A" w14:textId="77777777" w:rsidR="004A6322" w:rsidRDefault="00000000">
      <w:pPr>
        <w:suppressAutoHyphens/>
        <w:spacing w:after="0"/>
        <w:ind w:left="-709"/>
        <w:contextualSpacing/>
        <w:rPr>
          <w:rStyle w:val="ad"/>
          <w:b w:val="0"/>
          <w:i/>
          <w:szCs w:val="28"/>
          <w:shd w:val="clear" w:color="auto" w:fill="FFFFFF"/>
        </w:rPr>
      </w:pPr>
      <w:r>
        <w:rPr>
          <w:rStyle w:val="ad"/>
          <w:i/>
          <w:szCs w:val="28"/>
          <w:shd w:val="clear" w:color="auto" w:fill="FFFFFF"/>
        </w:rPr>
        <w:t>рядовой внутренней службы</w:t>
      </w:r>
    </w:p>
    <w:p w14:paraId="4C59CB0E" w14:textId="77777777" w:rsidR="004A6322" w:rsidRDefault="004A6322">
      <w:pPr>
        <w:suppressAutoHyphens/>
        <w:spacing w:after="0"/>
        <w:ind w:left="-709" w:firstLine="709"/>
        <w:contextualSpacing/>
        <w:jc w:val="center"/>
        <w:rPr>
          <w:rStyle w:val="ad"/>
          <w:b w:val="0"/>
          <w:szCs w:val="28"/>
          <w:shd w:val="clear" w:color="auto" w:fill="FFFFFF"/>
        </w:rPr>
      </w:pPr>
    </w:p>
    <w:p w14:paraId="2BCFB752" w14:textId="77777777" w:rsidR="004A6322" w:rsidRDefault="00000000">
      <w:pPr>
        <w:pStyle w:val="a7"/>
        <w:pBdr>
          <w:bottom w:val="single" w:sz="6" w:space="1" w:color="auto"/>
        </w:pBdr>
        <w:shd w:val="clear" w:color="auto" w:fill="FFFFFF"/>
        <w:suppressAutoHyphens/>
        <w:spacing w:before="0" w:beforeAutospacing="0" w:after="0" w:afterAutospacing="0"/>
        <w:ind w:left="-709" w:firstLine="709"/>
        <w:contextualSpacing/>
        <w:jc w:val="center"/>
        <w:rPr>
          <w:rStyle w:val="ad"/>
          <w:sz w:val="36"/>
          <w:szCs w:val="36"/>
        </w:rPr>
      </w:pPr>
      <w:r>
        <w:rPr>
          <w:b/>
          <w:bCs/>
          <w:sz w:val="36"/>
          <w:szCs w:val="36"/>
        </w:rPr>
        <w:t>Перспективы и новые пути развития налогового законодательства.</w:t>
      </w:r>
    </w:p>
    <w:p w14:paraId="5AB89975" w14:textId="77777777" w:rsidR="004A6322" w:rsidRDefault="004A6322">
      <w:pPr>
        <w:spacing w:after="0"/>
        <w:ind w:firstLine="709"/>
        <w:jc w:val="both"/>
      </w:pPr>
    </w:p>
    <w:p w14:paraId="76E40115" w14:textId="77777777" w:rsidR="004A6322" w:rsidRDefault="00000000">
      <w:pPr>
        <w:spacing w:after="0"/>
        <w:jc w:val="both"/>
      </w:pPr>
      <w:r>
        <w:t>В данной статье изучаются дальнейшие перспективы развития налогового законодательства в современной экономической и социальной обстановке. Проводится анализ основных тенденций, которые способны влиять на налоговую систему страны. Уделяется внимание инновациям в налоговой сфере, которые ответственны за внедрение электронных систем контроля налогообложения. Полагаясь на международный опыт, выдвигаются рекомендации по улучшению налогового законодательства и увеличению его эффективности в нынешней обстановке. Статья будет полезна тем, кто хочет понять основные аспекты налогообложения, также для законодателей, желающих оптимизации налогового законодательства для данного сектора, а также представлена необходимость комплексного подхода к реформированию налоговой системы, благодаря которой экономическое развитие и социальное благополучие будет стремительно развиваться в будущем.</w:t>
      </w:r>
    </w:p>
    <w:p w14:paraId="240A6BD5" w14:textId="77777777" w:rsidR="004A6322" w:rsidRDefault="004A6322">
      <w:pPr>
        <w:spacing w:after="0"/>
        <w:jc w:val="both"/>
      </w:pPr>
    </w:p>
    <w:p w14:paraId="3ED77EC1" w14:textId="77777777" w:rsidR="004A6322" w:rsidRDefault="00000000">
      <w:pPr>
        <w:spacing w:after="0"/>
        <w:jc w:val="both"/>
      </w:pPr>
      <w:r>
        <w:t>Ключевые слова: Налоговая устойчивость, цифровизация, налоговые стимулы, налоговые риски, фискальная политика.</w:t>
      </w:r>
    </w:p>
    <w:p w14:paraId="6C268AAD" w14:textId="77777777" w:rsidR="004A6322" w:rsidRDefault="004A6322">
      <w:pPr>
        <w:spacing w:after="0"/>
        <w:jc w:val="both"/>
      </w:pPr>
    </w:p>
    <w:p w14:paraId="1DA30383" w14:textId="77777777" w:rsidR="004A6322" w:rsidRDefault="00000000">
      <w:pPr>
        <w:spacing w:after="0"/>
        <w:jc w:val="both"/>
      </w:pPr>
      <w:r>
        <w:t>Современный мир, характеризующийся стремительной глобализацией и непрерывными экономическими трансформациями, предъявляет к налоговому законодательству беспрецедентные требования.  Старая парадигма уже не работает: необходимо не просто адаптировать существующие нормы, но и создавать принципиально новые подходы, способные обеспечить справедливое и эффективное налогообложение в условиях XXI века.  Перспективы развития налогового законодательства лежат в нескольких ключевых направлениях.</w:t>
      </w:r>
      <w:r>
        <w:rPr>
          <w:rStyle w:val="ac"/>
        </w:rPr>
        <w:footnoteReference w:id="1"/>
      </w:r>
    </w:p>
    <w:p w14:paraId="11CA8B64" w14:textId="77777777" w:rsidR="004A6322" w:rsidRDefault="00000000">
      <w:pPr>
        <w:spacing w:after="0"/>
        <w:jc w:val="both"/>
      </w:pPr>
      <w:r>
        <w:t>1. Цифровизация: налогообложение в эпоху онлайн-экономики.</w:t>
      </w:r>
    </w:p>
    <w:p w14:paraId="225223CB" w14:textId="77777777" w:rsidR="004A6322" w:rsidRDefault="00000000">
      <w:pPr>
        <w:spacing w:after="0"/>
        <w:jc w:val="both"/>
      </w:pPr>
      <w:r>
        <w:lastRenderedPageBreak/>
        <w:t>Цифровая экономика – это реальность, которая стремительно меняет ландшафт бизнеса.  Онлайн-торговля, цифровые сервисы, криптовалюты – все это создает новые вызовы для налоговых органов. Традиционные методы администрирования налогов оказываются бессильными перед лицом сложных схем оптимизации и трансграничных потоков данных.  Поэтому цифровизация налогообложения становится не просто желательной, а необходимой мерой.</w:t>
      </w:r>
    </w:p>
    <w:p w14:paraId="4433D985" w14:textId="77777777" w:rsidR="004A6322" w:rsidRDefault="00000000">
      <w:pPr>
        <w:spacing w:after="0"/>
        <w:jc w:val="both"/>
      </w:pPr>
      <w:r>
        <w:t>Это предполагает:</w:t>
      </w:r>
    </w:p>
    <w:p w14:paraId="142C94B1" w14:textId="77777777" w:rsidR="004A6322" w:rsidRDefault="00000000">
      <w:pPr>
        <w:spacing w:after="0"/>
        <w:ind w:firstLine="709"/>
        <w:jc w:val="both"/>
      </w:pPr>
      <w:r>
        <w:t>Внедрение электронных систем налогообложения: автоматизация процесса подачи деклараций, контроля за платежами, анализа данных, что существенно повысит эффективность и прозрачность налоговой системы.  Это, в свою очередь, сократит административную нагрузку как для налогоплательщиков, так и для налоговых органов.</w:t>
      </w:r>
    </w:p>
    <w:p w14:paraId="0D5107D2" w14:textId="77777777" w:rsidR="004A6322" w:rsidRDefault="00000000">
      <w:pPr>
        <w:spacing w:after="0"/>
        <w:ind w:firstLine="709"/>
        <w:jc w:val="both"/>
      </w:pPr>
      <w:r>
        <w:t>Разработку новых механизмов налогообложения цифровых активов: криптовалюты и другие цифровые активы требуют создания специальных правовых норм и механизмов контроля за их оборотом и налогообложением.  Необходимо разработать четкие правила определения налоговой базы и способов ее определения.</w:t>
      </w:r>
      <w:r>
        <w:rPr>
          <w:rStyle w:val="ac"/>
        </w:rPr>
        <w:footnoteReference w:id="2"/>
      </w:r>
    </w:p>
    <w:p w14:paraId="78A5BBA2" w14:textId="77777777" w:rsidR="004A6322" w:rsidRDefault="00000000">
      <w:pPr>
        <w:spacing w:after="0"/>
        <w:ind w:firstLine="709"/>
        <w:jc w:val="both"/>
      </w:pPr>
      <w:r>
        <w:t>Международное сотрудничество в сфере обмена налоговой информацией: для эффективного налогообложения транснациональных корпораций необходим беспрепятственный обмен данными между налоговыми службами разных стран. Это позволит предотвращать уклонение от налогов и обеспечить справедливое распределение налоговых поступлений.</w:t>
      </w:r>
    </w:p>
    <w:p w14:paraId="091C2679" w14:textId="77777777" w:rsidR="004A6322" w:rsidRDefault="00000000">
      <w:pPr>
        <w:spacing w:after="0"/>
        <w:jc w:val="both"/>
      </w:pPr>
      <w:r>
        <w:t>2. Экологическое и социальное налогообложение: устойчивое развитие через фискальную политику.</w:t>
      </w:r>
    </w:p>
    <w:p w14:paraId="17FCA3BC" w14:textId="77777777" w:rsidR="004A6322" w:rsidRDefault="00000000">
      <w:pPr>
        <w:spacing w:after="0"/>
        <w:jc w:val="both"/>
      </w:pPr>
      <w:r>
        <w:t>Изменение климата и растущее социальное неравенство требуют переосмысления роли налоговой системы.  Налоги перестают быть только инструментом наполнения государственного бюджета, они становятся мощным рычагом управления экономикой в интересах устойчивого развития.</w:t>
      </w:r>
    </w:p>
    <w:p w14:paraId="52222A7A" w14:textId="77777777" w:rsidR="004A6322" w:rsidRDefault="00000000">
      <w:pPr>
        <w:spacing w:after="0"/>
        <w:jc w:val="both"/>
      </w:pPr>
      <w:r>
        <w:t>Ключевые аспекты этого направления:</w:t>
      </w:r>
    </w:p>
    <w:p w14:paraId="03C47998" w14:textId="77777777" w:rsidR="004A6322" w:rsidRDefault="00000000">
      <w:pPr>
        <w:spacing w:after="0"/>
        <w:ind w:firstLine="709"/>
        <w:jc w:val="both"/>
      </w:pPr>
      <w:r>
        <w:t>Введение экологических налогов: налоги на выбросы углерода, налог на пластиковые отходы, акцизы на топливо – все это направлено на стимулирование перехода к "зеленой" экономике, инвестиции в экологически чистые технологии и снижение негативного воздействия на окружающую среду.</w:t>
      </w:r>
      <w:r>
        <w:rPr>
          <w:rStyle w:val="ac"/>
        </w:rPr>
        <w:footnoteReference w:id="3"/>
      </w:r>
    </w:p>
    <w:p w14:paraId="23796595" w14:textId="77777777" w:rsidR="004A6322" w:rsidRDefault="00000000">
      <w:pPr>
        <w:spacing w:after="0"/>
        <w:ind w:firstLine="709"/>
        <w:jc w:val="both"/>
      </w:pPr>
      <w:r>
        <w:t>Социальные налоги: прогрессивное налогообложение, направленное на сокращение неравенства в доходах, инвестиции в социальные программы и повышение уровня жизни малообеспеченных слоев населения.  Это может включать увеличение налогообложения для высокодоходных групп и предоставление налоговых льгот для социально незащищенных категорий граждан.</w:t>
      </w:r>
    </w:p>
    <w:p w14:paraId="033AC2CD" w14:textId="77777777" w:rsidR="004A6322" w:rsidRDefault="00000000">
      <w:pPr>
        <w:spacing w:after="0"/>
        <w:ind w:firstLine="709"/>
        <w:jc w:val="both"/>
      </w:pPr>
      <w:r>
        <w:lastRenderedPageBreak/>
        <w:t>Инвестиции в "зеленые" технологии: налоговые льготы и субсидии для компаний, внедряющих экологически чистые технологии и инвестирующих в проекты по охране окружающей среды.</w:t>
      </w:r>
    </w:p>
    <w:p w14:paraId="004FD265" w14:textId="77777777" w:rsidR="004A6322" w:rsidRDefault="00000000">
      <w:pPr>
        <w:spacing w:after="0"/>
        <w:jc w:val="both"/>
      </w:pPr>
      <w:r>
        <w:t>3. Международная гармонизация налогового законодательства: борьба с налоговыми разрывами.</w:t>
      </w:r>
    </w:p>
    <w:p w14:paraId="11472EB5" w14:textId="77777777" w:rsidR="004A6322" w:rsidRDefault="00000000">
      <w:pPr>
        <w:spacing w:after="0"/>
        <w:jc w:val="both"/>
      </w:pPr>
      <w:r>
        <w:t>Глобализация капитала создает возможности для минимизации налогов через использование оффшоров и других схем оптимизации.  Для противодействия этому необходимо международное сотрудничество и гармонизация налогового законодательства.</w:t>
      </w:r>
    </w:p>
    <w:p w14:paraId="72D7A133" w14:textId="77777777" w:rsidR="004A6322" w:rsidRDefault="00000000">
      <w:pPr>
        <w:spacing w:after="0"/>
        <w:jc w:val="both"/>
      </w:pPr>
      <w:r>
        <w:t>Основные направления работы:</w:t>
      </w:r>
    </w:p>
    <w:p w14:paraId="55500E19" w14:textId="77777777" w:rsidR="004A6322" w:rsidRDefault="00000000">
      <w:pPr>
        <w:spacing w:after="0"/>
        <w:ind w:firstLine="709"/>
        <w:jc w:val="both"/>
      </w:pPr>
      <w:r>
        <w:t>Разработка единых международных стандартов налогообложения: это позволит создать прозрачную и предсказуемую налоговую среду для бизнеса и предотвратить использование различных лазеек в законодательстве разных стран.</w:t>
      </w:r>
    </w:p>
    <w:p w14:paraId="7B39B68F" w14:textId="77777777" w:rsidR="004A6322" w:rsidRDefault="00000000">
      <w:pPr>
        <w:spacing w:after="0"/>
        <w:ind w:firstLine="709"/>
        <w:jc w:val="both"/>
      </w:pPr>
      <w:r>
        <w:t>Обмен информацией между налоговыми службами: современные технологии позволяют оперативно обмениваться данными между налоговыми органами различных стран, что позволяет эффективно выявлять и пресекать схемы уклонения от налогов.</w:t>
      </w:r>
      <w:r>
        <w:rPr>
          <w:rStyle w:val="ac"/>
        </w:rPr>
        <w:footnoteReference w:id="4"/>
      </w:r>
    </w:p>
    <w:p w14:paraId="701D9836" w14:textId="77777777" w:rsidR="004A6322" w:rsidRDefault="00000000">
      <w:pPr>
        <w:spacing w:after="0"/>
        <w:ind w:firstLine="709"/>
        <w:jc w:val="both"/>
      </w:pPr>
      <w:r>
        <w:t>Усиление сотрудничества в рамках международных организаций: ОЭСР, например, играет ключевую роль в разработке международных стандартов налогообложения и координации действий налоговых служб разных стран.</w:t>
      </w:r>
    </w:p>
    <w:p w14:paraId="3A655105" w14:textId="77777777" w:rsidR="004A6322" w:rsidRDefault="00000000">
      <w:pPr>
        <w:spacing w:after="0"/>
        <w:jc w:val="both"/>
      </w:pPr>
      <w:r>
        <w:t>Будущее налогового законодательства тесно связано с адаптацией к вызовам глобализации и использованием цифровых технологий для повышения эффективности и прозрачности налоговой системы.  Включение экологических и социальных аспектов в налоговую политику станет ключевым фактором устойчивого развития.  Наконец, международное сотрудничество – залог успеха в борьбе с налоговыми разрывами и создании справедливой налоговой среды для всех.</w:t>
      </w:r>
    </w:p>
    <w:p w14:paraId="5BE1FAF7" w14:textId="77777777" w:rsidR="004A6322" w:rsidRDefault="00000000">
      <w:pPr>
        <w:spacing w:after="0"/>
        <w:jc w:val="both"/>
      </w:pPr>
      <w:r>
        <w:t>Налоговое администрирование переживает масштабную трансформацию, сравнимую с промышленной революцией, но на этот раз движущей силой выступают не паровые машины, а инновационные технологии.  Внедрение электронных систем и методов анализа больших данных кардинально меняет подход к контролю, сбору и анализу налоговых поступлений, принося пользу как государству, так и налогоплательщикам.</w:t>
      </w:r>
      <w:r>
        <w:rPr>
          <w:rStyle w:val="ac"/>
        </w:rPr>
        <w:footnoteReference w:id="5"/>
      </w:r>
    </w:p>
    <w:p w14:paraId="0765C0E2" w14:textId="77777777" w:rsidR="004A6322" w:rsidRDefault="00000000">
      <w:pPr>
        <w:spacing w:after="0"/>
        <w:ind w:firstLine="709"/>
        <w:jc w:val="both"/>
      </w:pPr>
      <w:r>
        <w:t>Электрификация налогового контроля: новый стандарт эффективности.</w:t>
      </w:r>
    </w:p>
    <w:p w14:paraId="65A547D6" w14:textId="77777777" w:rsidR="004A6322" w:rsidRDefault="00000000">
      <w:pPr>
        <w:spacing w:after="0"/>
        <w:jc w:val="both"/>
      </w:pPr>
      <w:r>
        <w:t xml:space="preserve">Центральным элементом этой трансформации является электризация процессов.  Электронные налоговые системы позволяют автоматизировать практически все этапы взаимодействия налогоплательщиков и налоговых органов.  От подачи деклараций в режиме онлайн до автоматического расчета налоговых обязательств и моментальной оплаты – все это значительно сокращает время и затраты, как для граждан и бизнеса, так и для самих </w:t>
      </w:r>
      <w:r>
        <w:lastRenderedPageBreak/>
        <w:t>налоговиков.  Упрощение процедур снижает административную нагрузку, минимизируя вероятность ошибок и споров, и повышая общее доверие к системе.</w:t>
      </w:r>
      <w:r>
        <w:rPr>
          <w:rStyle w:val="ac"/>
        </w:rPr>
        <w:footnoteReference w:id="6"/>
      </w:r>
    </w:p>
    <w:p w14:paraId="10C1BD41" w14:textId="77777777" w:rsidR="004A6322" w:rsidRDefault="00000000">
      <w:pPr>
        <w:spacing w:after="0"/>
        <w:ind w:firstLine="709"/>
        <w:jc w:val="both"/>
      </w:pPr>
      <w:r>
        <w:t>Интеграция данных: ключ к прозрачности и эффективности</w:t>
      </w:r>
    </w:p>
    <w:p w14:paraId="7386184A" w14:textId="77777777" w:rsidR="004A6322" w:rsidRDefault="00000000">
      <w:pPr>
        <w:spacing w:after="0"/>
        <w:jc w:val="both"/>
      </w:pPr>
      <w:r>
        <w:t>Одно из главных преимуществ электронных систем – возможность интеграции данных из различных источников.  Налоговые органы получают доступ к информации не только из собственных баз данных, но и из других государственных реестров, банковских систем и даже коммерческих источников (с соблюдением строгих норм конфиденциальности, разумеется).  Это формирует более полную и объективную картину налогового поведения каждого плательщика, позволяя выявлять несоответствия и потенциальные случаи уклонения от налогов с гораздо большей точностью.</w:t>
      </w:r>
    </w:p>
    <w:p w14:paraId="7A5EB921" w14:textId="77777777" w:rsidR="004A6322" w:rsidRDefault="00000000">
      <w:pPr>
        <w:spacing w:after="0"/>
        <w:ind w:firstLine="709"/>
        <w:jc w:val="both"/>
      </w:pPr>
      <w:r>
        <w:t>Большие данные и предиктивная аналитика: проактивный подход к контролю</w:t>
      </w:r>
    </w:p>
    <w:p w14:paraId="1EF116B5" w14:textId="77777777" w:rsidR="004A6322" w:rsidRDefault="00000000">
      <w:pPr>
        <w:spacing w:after="0"/>
        <w:jc w:val="both"/>
      </w:pPr>
      <w:r>
        <w:t>Применение технологий больших данных открывает совершенно новые горизонты.  Машинное обучение и алгоритмы предиктивной аналитики позволяют обрабатывать огромные объемы информации, выявляя скрытые закономерности и предсказывая потенциальные риски.  Налоговые органы получают возможность:</w:t>
      </w:r>
    </w:p>
    <w:p w14:paraId="2200F100" w14:textId="77777777" w:rsidR="004A6322" w:rsidRDefault="00000000">
      <w:pPr>
        <w:spacing w:after="0"/>
        <w:ind w:firstLine="709"/>
        <w:jc w:val="both"/>
      </w:pPr>
      <w:r>
        <w:t>Идентифицировать высокорисковых налогоплательщиков: Алгоритмы анализируют сотни параметров, выявляя аномалии в финансовых потоках и поведении, указывающие на возможные нарушения.</w:t>
      </w:r>
    </w:p>
    <w:p w14:paraId="192A5F46" w14:textId="77777777" w:rsidR="004A6322" w:rsidRDefault="00000000">
      <w:pPr>
        <w:spacing w:after="0"/>
        <w:ind w:firstLine="709"/>
        <w:jc w:val="both"/>
      </w:pPr>
      <w:r>
        <w:t>Оптимизировать аудиторские проверки: Ресурсы направляются на наиболее подозрительные случаи, повышая эффективность контроля и снижая нагрузку на добросовестных налогоплательщиков.</w:t>
      </w:r>
    </w:p>
    <w:p w14:paraId="0995C4D8" w14:textId="77777777" w:rsidR="004A6322" w:rsidRDefault="00000000">
      <w:pPr>
        <w:spacing w:after="0"/>
        <w:ind w:firstLine="709"/>
        <w:jc w:val="both"/>
      </w:pPr>
      <w:r>
        <w:t>Разрабатывать более эффективные налоговые стратегии: Анализ данных помогает прогнозировать налоговые поступления и адаптировать налоговую политику к изменяющимся экономическим условиям.</w:t>
      </w:r>
    </w:p>
    <w:p w14:paraId="51AD3FBA" w14:textId="77777777" w:rsidR="004A6322" w:rsidRDefault="00000000">
      <w:pPr>
        <w:spacing w:after="0"/>
        <w:ind w:firstLine="709"/>
        <w:jc w:val="both"/>
      </w:pPr>
      <w:r>
        <w:t>Выявлять новые схемы налогового мошенничества: Алгоритмы способны обнаружить сложные и завуалированные схемы уклонения, которые сложно выявить традиционными методами.</w:t>
      </w:r>
      <w:r>
        <w:rPr>
          <w:rStyle w:val="ac"/>
        </w:rPr>
        <w:footnoteReference w:id="7"/>
      </w:r>
    </w:p>
    <w:p w14:paraId="7E729151" w14:textId="77777777" w:rsidR="004A6322" w:rsidRDefault="00000000">
      <w:pPr>
        <w:spacing w:after="0"/>
        <w:jc w:val="both"/>
      </w:pPr>
      <w:r>
        <w:t>Технологии блокчейн: повышение прозрачности и безопасности</w:t>
      </w:r>
    </w:p>
    <w:p w14:paraId="0C3DCCF6" w14:textId="77777777" w:rsidR="004A6322" w:rsidRDefault="00000000">
      <w:pPr>
        <w:spacing w:after="0"/>
        <w:jc w:val="both"/>
      </w:pPr>
      <w:r>
        <w:t>Внедрение технологий блокчейн в налоговое администрирование обещает еще больше повысить прозрачность и безопасность системы.  Распределенный реестр обеспечивает неподделываемость налоговых записей, повышая доверие к системе и снижая риски коррупции.  Это особенно актуально для контроля за трансграничными операциями и международным налогообложением.</w:t>
      </w:r>
    </w:p>
    <w:p w14:paraId="39ECA8A6" w14:textId="77777777" w:rsidR="004A6322" w:rsidRDefault="00000000">
      <w:pPr>
        <w:spacing w:after="0"/>
        <w:jc w:val="both"/>
      </w:pPr>
      <w:r>
        <w:t xml:space="preserve">Цифровая трансформация налогового администрирования – это не просто модернизация, а коренное изменение подхода к сбору налогов.  Электронные системы, анализ больших данных и технологии блокчейн создают более </w:t>
      </w:r>
      <w:r>
        <w:lastRenderedPageBreak/>
        <w:t>эффективную, прозрачную и справедливую систему, выгодную как для государства, так и для налогоплательщиков.  Несмотря на вызовы, связанные с защитой данных и адаптацией к новым технологиям, преимущества цифровой трансформации очевидны и неизбежно приведут к дальнейшему развитию налогового администрирования в ближайшие годы.</w:t>
      </w:r>
    </w:p>
    <w:p w14:paraId="470EB362" w14:textId="77777777" w:rsidR="004A6322" w:rsidRDefault="00000000">
      <w:pPr>
        <w:spacing w:after="0"/>
        <w:ind w:firstLine="426"/>
        <w:jc w:val="both"/>
      </w:pPr>
      <w:r>
        <w:t>Современный мир стремительно меняется, и налоговая система, как неотъемлемая часть экономической инфраструктуры, не может оставаться в стороне. Глобализация, цифровизация и новые модели бизнеса требуют переосмысления подходов к налогообложению, поиска инновационных решений и создания более справедливой и эффективной системы.  В этой статье мы рассмотрим ключевые направления развития налогового законодательства в свете современных экономических реалий.</w:t>
      </w:r>
      <w:r>
        <w:rPr>
          <w:rStyle w:val="ac"/>
        </w:rPr>
        <w:footnoteReference w:id="8"/>
      </w:r>
      <w:r>
        <w:t xml:space="preserve"> Будущее налогообложения – это движение к более эффективной, прозрачной и справедливой системе, которая будет способствовать экономическому росту и устойчивому развитию.  Внедрение современных технологий, международная координация и активное взаимодействие государства и бизнеса являются ключевыми факторами успешной реализации необходимых изменений.  Только комплексный подход, учитывающий все аспекты налоговой системы, позволит создать динамичную налоговую среду, способствующую процветанию общества.</w:t>
      </w:r>
    </w:p>
    <w:p w14:paraId="1A049098" w14:textId="77777777" w:rsidR="004A6322" w:rsidRDefault="004A6322">
      <w:pPr>
        <w:spacing w:after="0"/>
        <w:ind w:firstLine="426"/>
        <w:jc w:val="both"/>
      </w:pPr>
    </w:p>
    <w:p w14:paraId="3C2BD077" w14:textId="77777777" w:rsidR="004A6322" w:rsidRDefault="00000000">
      <w:pPr>
        <w:spacing w:after="0" w:line="360" w:lineRule="auto"/>
        <w:ind w:left="-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ЛИТЕРАТУРА</w:t>
      </w:r>
    </w:p>
    <w:p w14:paraId="77E93660" w14:textId="77777777" w:rsidR="004A6322" w:rsidRDefault="00000000">
      <w:pPr>
        <w:pStyle w:val="a3"/>
        <w:spacing w:before="1"/>
        <w:ind w:right="225"/>
      </w:pPr>
      <w:r>
        <w:t>1. Васильева О. Ю. Проблемы на пути реализации основных направлений налоговой политики в 2018–2020 годах // Инновации в науке и практике. — 2018. — с.83–89.</w:t>
      </w:r>
    </w:p>
    <w:p w14:paraId="48D7F636" w14:textId="77777777" w:rsidR="004A6322" w:rsidRDefault="00000000">
      <w:pPr>
        <w:pStyle w:val="a3"/>
        <w:spacing w:before="1"/>
        <w:ind w:right="225"/>
      </w:pPr>
      <w:r>
        <w:t>2. Гулягова, П. О. Реализация форм налогового контроля в условиях цифровизации / П. О. Гулягова, Т. Н. Шашкова // Аллея науки. — 2021. — Т. 2, № 1(52). — С. 548–557.</w:t>
      </w:r>
    </w:p>
    <w:p w14:paraId="200D60D8" w14:textId="77777777" w:rsidR="004A6322" w:rsidRDefault="00000000">
      <w:pPr>
        <w:pStyle w:val="a3"/>
        <w:spacing w:before="1"/>
        <w:ind w:right="225"/>
      </w:pPr>
      <w:r>
        <w:t>3. Налоговый кодекс Российской Федерации: Части первая и вторая. — М.: Издательство «Омега-Л», 2014.- 793 с. 2.</w:t>
      </w:r>
    </w:p>
    <w:p w14:paraId="3C48EF2C" w14:textId="77777777" w:rsidR="004A6322" w:rsidRDefault="00000000">
      <w:pPr>
        <w:pStyle w:val="a3"/>
        <w:spacing w:before="1"/>
        <w:ind w:right="225"/>
      </w:pPr>
      <w:r>
        <w:t>4. Нововведения в бухгалтерском учете, налогообложении и аудите Дубровская Т.Н, Чугунов А. В. Серебрякова И. А. Научный Вестник Воронежского государственного технического университета. Серия «Экономика и предпринимательство» — Воронеж: ВГТУ, 2018 г. — Выпуск 13 — с.71–77.</w:t>
      </w:r>
    </w:p>
    <w:p w14:paraId="550C475F" w14:textId="77777777" w:rsidR="004A6322" w:rsidRDefault="00000000">
      <w:pPr>
        <w:pStyle w:val="a3"/>
        <w:spacing w:before="1"/>
        <w:ind w:right="225"/>
      </w:pPr>
      <w:r>
        <w:t>5. Кирова Е. А., Кожебаткина А. В. Модернизация налогового контроля в условиях цифровизации экономики // Вестник университета 2020 № 9. С. 94–99.</w:t>
      </w:r>
    </w:p>
    <w:p w14:paraId="531ADFED" w14:textId="77777777" w:rsidR="004A6322" w:rsidRDefault="004A6322">
      <w:pPr>
        <w:spacing w:after="0"/>
        <w:jc w:val="both"/>
      </w:pPr>
    </w:p>
    <w:sectPr w:rsidR="004A63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30CD1" w14:textId="77777777" w:rsidR="00F7513D" w:rsidRDefault="00F7513D">
      <w:pPr>
        <w:spacing w:after="0"/>
      </w:pPr>
      <w:r>
        <w:separator/>
      </w:r>
    </w:p>
  </w:endnote>
  <w:endnote w:type="continuationSeparator" w:id="0">
    <w:p w14:paraId="16ECC0B9" w14:textId="77777777" w:rsidR="00F7513D" w:rsidRDefault="00F751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5FEBE" w14:textId="77777777" w:rsidR="00F7513D" w:rsidRDefault="00F7513D">
      <w:pPr>
        <w:spacing w:after="0"/>
      </w:pPr>
      <w:r>
        <w:separator/>
      </w:r>
    </w:p>
  </w:footnote>
  <w:footnote w:type="continuationSeparator" w:id="0">
    <w:p w14:paraId="59B86107" w14:textId="77777777" w:rsidR="00F7513D" w:rsidRDefault="00F7513D">
      <w:pPr>
        <w:spacing w:after="0"/>
      </w:pPr>
      <w:r>
        <w:continuationSeparator/>
      </w:r>
    </w:p>
  </w:footnote>
  <w:footnote w:id="1">
    <w:p w14:paraId="7B23AA54" w14:textId="77777777" w:rsidR="004A6322" w:rsidRDefault="00000000">
      <w:pPr>
        <w:pStyle w:val="a5"/>
      </w:pPr>
      <w:r>
        <w:rPr>
          <w:rStyle w:val="ac"/>
        </w:rPr>
        <w:footnoteRef/>
      </w:r>
      <w:r>
        <w:t xml:space="preserve"> Гулягова, П. О. Реализация форм налогового контроля в условиях цифровизации / П. О. Гулягова, Т. Н. Шашкова // Аллея науки. — 2021. — Т. 2, № 1(52). — С. 548–557.</w:t>
      </w:r>
    </w:p>
  </w:footnote>
  <w:footnote w:id="2">
    <w:p w14:paraId="224A489C" w14:textId="77777777" w:rsidR="004A6322" w:rsidRDefault="00000000">
      <w:pPr>
        <w:pStyle w:val="a5"/>
      </w:pPr>
      <w:r>
        <w:rPr>
          <w:rStyle w:val="ac"/>
        </w:rPr>
        <w:footnoteRef/>
      </w:r>
      <w:r>
        <w:t xml:space="preserve"> Налоговый кодекс Российской Федерации: Части первая и вторая. — М.: Издательство «Омега-Л», 2014.- 793 с. 2.</w:t>
      </w:r>
    </w:p>
  </w:footnote>
  <w:footnote w:id="3">
    <w:p w14:paraId="16D05853" w14:textId="77777777" w:rsidR="004A6322" w:rsidRDefault="00000000">
      <w:pPr>
        <w:pStyle w:val="a5"/>
      </w:pPr>
      <w:r>
        <w:rPr>
          <w:rStyle w:val="ac"/>
        </w:rPr>
        <w:footnoteRef/>
      </w:r>
      <w:r>
        <w:t xml:space="preserve"> Васильева О. Ю. Проблемы на пути реализации основных направлений налоговой политики в 2018–2020 годах // Инновации в науке и практике. — 2018. — с.83–89.</w:t>
      </w:r>
    </w:p>
  </w:footnote>
  <w:footnote w:id="4">
    <w:p w14:paraId="51D91ED9" w14:textId="77777777" w:rsidR="004A6322" w:rsidRDefault="00000000">
      <w:pPr>
        <w:pStyle w:val="a5"/>
      </w:pPr>
      <w:r>
        <w:rPr>
          <w:rStyle w:val="ac"/>
        </w:rPr>
        <w:footnoteRef/>
      </w:r>
      <w:r>
        <w:t xml:space="preserve"> Кирова Е. А., Кожебаткина А. В. Модернизация налогового контроля в условиях цифровизации экономики // Вестник университета 2020 № 9. С. 94–99.</w:t>
      </w:r>
    </w:p>
  </w:footnote>
  <w:footnote w:id="5">
    <w:p w14:paraId="11815B9A" w14:textId="77777777" w:rsidR="004A6322" w:rsidRDefault="00000000">
      <w:pPr>
        <w:pStyle w:val="a5"/>
      </w:pPr>
      <w:r>
        <w:rPr>
          <w:rStyle w:val="ac"/>
        </w:rPr>
        <w:footnoteRef/>
      </w:r>
      <w:r>
        <w:t xml:space="preserve"> Гулягова, П. О. Реализация форм налогового контроля в условиях цифровизации / П. О. Гулягова, Т. Н. Шашкова // Аллея науки. — 2021. — Т. 2, № 1(52). — С. 548–557.</w:t>
      </w:r>
    </w:p>
  </w:footnote>
  <w:footnote w:id="6">
    <w:p w14:paraId="2AA3E496" w14:textId="77777777" w:rsidR="004A6322" w:rsidRDefault="00000000">
      <w:pPr>
        <w:pStyle w:val="a5"/>
      </w:pPr>
      <w:r>
        <w:rPr>
          <w:rStyle w:val="ac"/>
        </w:rPr>
        <w:footnoteRef/>
      </w:r>
      <w:r>
        <w:t xml:space="preserve"> Васильева О. Ю. Проблемы на пути реализации основных направлений налоговой политики в 2018–2020 годах // Инновации в науке и практике. — 2018. — с.83–89.</w:t>
      </w:r>
    </w:p>
  </w:footnote>
  <w:footnote w:id="7">
    <w:p w14:paraId="6C850676" w14:textId="77777777" w:rsidR="004A6322" w:rsidRDefault="00000000">
      <w:pPr>
        <w:pStyle w:val="a5"/>
      </w:pPr>
      <w:r>
        <w:rPr>
          <w:rStyle w:val="ac"/>
        </w:rPr>
        <w:footnoteRef/>
      </w:r>
      <w:r>
        <w:t xml:space="preserve"> Кирова Е. А., Кожебаткина А. В. Модернизация налогового контроля в условиях цифровизации экономики // Вестник университета 2020 № 9. С. 94–99.</w:t>
      </w:r>
    </w:p>
  </w:footnote>
  <w:footnote w:id="8">
    <w:p w14:paraId="4655D102" w14:textId="77777777" w:rsidR="004A6322" w:rsidRDefault="00000000">
      <w:pPr>
        <w:pStyle w:val="a5"/>
      </w:pPr>
      <w:r>
        <w:rPr>
          <w:rStyle w:val="ac"/>
        </w:rPr>
        <w:footnoteRef/>
      </w:r>
      <w:r>
        <w:t xml:space="preserve"> Нововведения в бухгалтерском учете, налогообложении и аудите Дубровская Т.Н, Чугунов А. В. Серебрякова И. А. Научный Вестник Воронежского государственного технического университета. Серия «Экономика и предпринимательство» — Воронеж: ВГТУ, 2018 г. — Выпуск 13 — с.71–77.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22"/>
    <w:rsid w:val="004A6322"/>
    <w:rsid w:val="00616644"/>
    <w:rsid w:val="007B2C87"/>
    <w:rsid w:val="00F7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0017"/>
  <w15:docId w15:val="{34BBCB23-6650-4DFB-ACA4-12893AD8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  <w:rPr>
      <w:rFonts w:eastAsiaTheme="minorHAnsi" w:cstheme="minorBidi"/>
      <w:kern w:val="2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Cs w:val="28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32"/>
      <w:szCs w:val="32"/>
      <w:u w:val="single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32"/>
      <w:szCs w:val="32"/>
      <w:u w:val="single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0"/>
      <w:sz w:val="32"/>
      <w:szCs w:val="32"/>
      <w:u w:val="single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  <w:kern w:val="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/>
      <w:ind w:left="162" w:firstLine="707"/>
      <w:jc w:val="both"/>
    </w:pPr>
    <w:rPr>
      <w:rFonts w:eastAsia="Times New Roman" w:cs="Times New Roman"/>
      <w:kern w:val="0"/>
      <w:szCs w:val="28"/>
    </w:rPr>
  </w:style>
  <w:style w:type="paragraph" w:styleId="a5">
    <w:name w:val="footnote text"/>
    <w:basedOn w:val="a"/>
    <w:link w:val="a6"/>
    <w:uiPriority w:val="99"/>
    <w:unhideWhenUsed/>
    <w:pPr>
      <w:spacing w:after="0"/>
    </w:pPr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kern w:val="0"/>
      <w:szCs w:val="28"/>
      <w:u w:val="single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u w:val="single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inorHAnsi" w:eastAsiaTheme="majorEastAsia" w:hAnsiTheme="minorHAnsi" w:cstheme="majorBidi"/>
      <w:color w:val="262626" w:themeColor="text1" w:themeTint="D9"/>
    </w:rPr>
  </w:style>
  <w:style w:type="character" w:customStyle="1" w:styleId="ab">
    <w:name w:val="Заголовок Знак"/>
    <w:basedOn w:val="a0"/>
    <w:link w:val="aa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Подзаголовок Знак"/>
    <w:basedOn w:val="a0"/>
    <w:link w:val="a8"/>
    <w:uiPriority w:val="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customStyle="1" w:styleId="21">
    <w:name w:val="Цитата 21"/>
    <w:basedOn w:val="a"/>
    <w:next w:val="a"/>
    <w:link w:val="22"/>
    <w:uiPriority w:val="29"/>
    <w:qFormat/>
    <w:pPr>
      <w:spacing w:before="160"/>
      <w:jc w:val="center"/>
    </w:pPr>
    <w:rPr>
      <w:rFonts w:cs="Times New Roman"/>
      <w:i/>
      <w:iCs/>
      <w:color w:val="404040" w:themeColor="text1" w:themeTint="BF"/>
      <w:kern w:val="0"/>
      <w:sz w:val="32"/>
      <w:szCs w:val="32"/>
      <w:u w:val="single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  <w:rPr>
      <w:rFonts w:cs="Times New Roman"/>
      <w:kern w:val="0"/>
      <w:sz w:val="32"/>
      <w:szCs w:val="32"/>
      <w:u w:val="single"/>
    </w:rPr>
  </w:style>
  <w:style w:type="character" w:customStyle="1" w:styleId="12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customStyle="1" w:styleId="13">
    <w:name w:val="Выделенная цитата1"/>
    <w:basedOn w:val="a"/>
    <w:next w:val="a"/>
    <w:link w:val="ae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Times New Roman"/>
      <w:i/>
      <w:iCs/>
      <w:color w:val="2F5496" w:themeColor="accent1" w:themeShade="BF"/>
      <w:kern w:val="0"/>
      <w:sz w:val="32"/>
      <w:szCs w:val="32"/>
      <w:u w:val="single"/>
    </w:rPr>
  </w:style>
  <w:style w:type="character" w:customStyle="1" w:styleId="ae">
    <w:name w:val="Выделенная цитата Знак"/>
    <w:basedOn w:val="a0"/>
    <w:link w:val="13"/>
    <w:uiPriority w:val="30"/>
    <w:rPr>
      <w:i/>
      <w:iCs/>
      <w:color w:val="2F5496" w:themeColor="accent1" w:themeShade="BF"/>
    </w:rPr>
  </w:style>
  <w:style w:type="character" w:customStyle="1" w:styleId="14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4">
    <w:name w:val="Основной текст Знак"/>
    <w:basedOn w:val="a0"/>
    <w:link w:val="a3"/>
    <w:uiPriority w:val="1"/>
    <w:rPr>
      <w:rFonts w:eastAsia="Times New Roman"/>
      <w:sz w:val="28"/>
      <w:szCs w:val="28"/>
      <w:u w:val="none"/>
    </w:rPr>
  </w:style>
  <w:style w:type="character" w:customStyle="1" w:styleId="a6">
    <w:name w:val="Текст сноски Знак"/>
    <w:basedOn w:val="a0"/>
    <w:link w:val="a5"/>
    <w:uiPriority w:val="99"/>
    <w:semiHidden/>
    <w:rPr>
      <w:rFonts w:cstheme="minorBidi"/>
      <w:kern w:val="2"/>
      <w:sz w:val="20"/>
      <w:szCs w:val="20"/>
      <w:u w:val="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1680</Words>
  <Characters>9581</Characters>
  <Application>Microsoft Office Word</Application>
  <DocSecurity>0</DocSecurity>
  <Lines>79</Lines>
  <Paragraphs>22</Paragraphs>
  <ScaleCrop>false</ScaleCrop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Exponat</dc:creator>
  <cp:lastModifiedBy>ДИМА КАЛИНИН</cp:lastModifiedBy>
  <cp:revision>13</cp:revision>
  <dcterms:created xsi:type="dcterms:W3CDTF">2025-03-03T12:22:00Z</dcterms:created>
  <dcterms:modified xsi:type="dcterms:W3CDTF">2025-06-10T04:32:00Z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1D7F550AE25AEE0A130CD9673965B7FA_33</vt:lpwstr>
  </property>
  <property fmtid="{D5CDD505-2E9C-101B-9397-08002B2CF9AE}" pid="3" name="KSOProductBuildVer">
    <vt:lpwstr>2052-11.33.82</vt:lpwstr>
  </property>
</Properties>
</file>