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E9" w:rsidRDefault="00AB5AE9" w:rsidP="00642056">
      <w:pPr>
        <w:spacing w:line="360" w:lineRule="auto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Особенности технической подготовки танцоров 15-17 лет направления «</w:t>
      </w:r>
      <w:r>
        <w:rPr>
          <w:b/>
          <w:sz w:val="28"/>
          <w:szCs w:val="28"/>
          <w:lang w:val="en-US" w:eastAsia="ru-RU"/>
        </w:rPr>
        <w:t>Hip</w:t>
      </w:r>
      <w:r w:rsidRPr="00AB5AE9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val="en-US" w:eastAsia="ru-RU"/>
        </w:rPr>
        <w:t>hop</w:t>
      </w:r>
      <w:r>
        <w:rPr>
          <w:b/>
          <w:sz w:val="28"/>
          <w:szCs w:val="28"/>
          <w:lang w:eastAsia="ru-RU"/>
        </w:rPr>
        <w:t>» г. Сургута</w:t>
      </w:r>
    </w:p>
    <w:p w:rsidR="00F95CC8" w:rsidRPr="00642056" w:rsidRDefault="00F95CC8" w:rsidP="00642056">
      <w:pPr>
        <w:spacing w:line="360" w:lineRule="auto"/>
        <w:jc w:val="right"/>
        <w:rPr>
          <w:b/>
          <w:sz w:val="28"/>
          <w:szCs w:val="28"/>
          <w:lang w:eastAsia="ru-RU"/>
        </w:rPr>
      </w:pPr>
      <w:r w:rsidRPr="00642056">
        <w:rPr>
          <w:b/>
          <w:sz w:val="28"/>
          <w:szCs w:val="28"/>
          <w:lang w:eastAsia="ru-RU"/>
        </w:rPr>
        <w:t>Садыков Фирдавс Хомиджонович</w:t>
      </w:r>
    </w:p>
    <w:p w:rsidR="00AB5AE9" w:rsidRDefault="004D4C7A" w:rsidP="00642056">
      <w:pPr>
        <w:widowControl w:val="0"/>
        <w:spacing w:line="360" w:lineRule="auto"/>
        <w:jc w:val="right"/>
        <w:rPr>
          <w:b/>
          <w:sz w:val="28"/>
          <w:szCs w:val="28"/>
        </w:rPr>
      </w:pPr>
      <w:r w:rsidRPr="00642056">
        <w:rPr>
          <w:b/>
          <w:sz w:val="28"/>
          <w:szCs w:val="28"/>
        </w:rPr>
        <w:t xml:space="preserve">  </w:t>
      </w:r>
      <w:r w:rsidR="00AB5AE9">
        <w:rPr>
          <w:b/>
          <w:sz w:val="28"/>
          <w:szCs w:val="28"/>
        </w:rPr>
        <w:t>Студент-магистрант</w:t>
      </w:r>
      <w:r w:rsidR="00F95CC8" w:rsidRPr="00642056">
        <w:rPr>
          <w:b/>
          <w:sz w:val="28"/>
          <w:szCs w:val="28"/>
        </w:rPr>
        <w:t xml:space="preserve"> </w:t>
      </w:r>
    </w:p>
    <w:p w:rsidR="00F95CC8" w:rsidRPr="00642056" w:rsidRDefault="00F95CC8" w:rsidP="00642056">
      <w:pPr>
        <w:widowControl w:val="0"/>
        <w:spacing w:line="360" w:lineRule="auto"/>
        <w:jc w:val="right"/>
        <w:rPr>
          <w:b/>
          <w:sz w:val="28"/>
          <w:szCs w:val="28"/>
        </w:rPr>
      </w:pPr>
      <w:r w:rsidRPr="00642056">
        <w:rPr>
          <w:b/>
          <w:sz w:val="28"/>
          <w:szCs w:val="28"/>
        </w:rPr>
        <w:t xml:space="preserve">Сургутский государственный университет, </w:t>
      </w:r>
    </w:p>
    <w:p w:rsidR="00F95CC8" w:rsidRPr="00642056" w:rsidRDefault="00F95CC8" w:rsidP="00642056">
      <w:pPr>
        <w:widowControl w:val="0"/>
        <w:spacing w:line="360" w:lineRule="auto"/>
        <w:jc w:val="right"/>
        <w:rPr>
          <w:b/>
          <w:sz w:val="28"/>
          <w:szCs w:val="28"/>
        </w:rPr>
      </w:pPr>
      <w:r w:rsidRPr="00642056">
        <w:rPr>
          <w:b/>
          <w:sz w:val="28"/>
          <w:szCs w:val="28"/>
        </w:rPr>
        <w:t>РФ, г. Сургут</w:t>
      </w:r>
    </w:p>
    <w:p w:rsidR="00F95CC8" w:rsidRPr="00642056" w:rsidRDefault="00F95CC8" w:rsidP="00642056">
      <w:pPr>
        <w:widowControl w:val="0"/>
        <w:spacing w:line="360" w:lineRule="auto"/>
        <w:jc w:val="right"/>
        <w:rPr>
          <w:b/>
          <w:sz w:val="28"/>
          <w:szCs w:val="28"/>
        </w:rPr>
      </w:pPr>
    </w:p>
    <w:p w:rsidR="00AB5AE9" w:rsidRDefault="00FC177F" w:rsidP="00AB5AE9">
      <w:pPr>
        <w:spacing w:line="360" w:lineRule="auto"/>
        <w:ind w:firstLine="851"/>
        <w:jc w:val="both"/>
        <w:rPr>
          <w:sz w:val="28"/>
          <w:szCs w:val="28"/>
        </w:rPr>
      </w:pPr>
      <w:r w:rsidRPr="00642056">
        <w:rPr>
          <w:b/>
          <w:sz w:val="28"/>
          <w:szCs w:val="28"/>
        </w:rPr>
        <w:t>Введение.</w:t>
      </w:r>
      <w:r w:rsidRPr="00642056">
        <w:rPr>
          <w:sz w:val="28"/>
          <w:szCs w:val="28"/>
        </w:rPr>
        <w:t xml:space="preserve"> </w:t>
      </w:r>
      <w:r w:rsidR="00AB5AE9" w:rsidRPr="00154DC7">
        <w:rPr>
          <w:sz w:val="28"/>
          <w:szCs w:val="28"/>
        </w:rPr>
        <w:t>Танцевальное направление хип-хоп является одним из художественных и зрелищных видов специально организованной двигательной деятельности, где техническое подготовка и мастерство является неотъемлемой частью каждого танцевального стиля.</w:t>
      </w:r>
      <w:r w:rsidR="00AB5AE9">
        <w:rPr>
          <w:sz w:val="28"/>
          <w:szCs w:val="28"/>
        </w:rPr>
        <w:t xml:space="preserve"> Как и в любом виде спорта, в хип-хоп направлении есть понятие как техника движения определенного стиля.</w:t>
      </w:r>
    </w:p>
    <w:p w:rsidR="00AB5AE9" w:rsidRDefault="00AB5AE9" w:rsidP="00AB5AE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54DC7">
        <w:rPr>
          <w:color w:val="000000"/>
          <w:sz w:val="28"/>
          <w:szCs w:val="28"/>
        </w:rPr>
        <w:t>Особенности в системе подготовки</w:t>
      </w:r>
      <w:r>
        <w:rPr>
          <w:color w:val="000000"/>
          <w:sz w:val="28"/>
          <w:szCs w:val="28"/>
        </w:rPr>
        <w:t xml:space="preserve"> танцоров</w:t>
      </w:r>
      <w:r w:rsidRPr="00154DC7">
        <w:rPr>
          <w:color w:val="000000"/>
          <w:sz w:val="28"/>
          <w:szCs w:val="28"/>
        </w:rPr>
        <w:t>, занимающихся</w:t>
      </w:r>
      <w:r>
        <w:rPr>
          <w:color w:val="000000"/>
          <w:sz w:val="28"/>
          <w:szCs w:val="28"/>
        </w:rPr>
        <w:t xml:space="preserve"> хип-хопом</w:t>
      </w:r>
      <w:r w:rsidRPr="00154DC7">
        <w:rPr>
          <w:color w:val="000000"/>
          <w:sz w:val="28"/>
          <w:szCs w:val="28"/>
        </w:rPr>
        <w:t>, представляет определенную проблему, сложность которой состоит в решении необходимых комплексных задач, а именно: не только повышение уровня физической, психологической подготовленности, но и формирование и повышение уровня</w:t>
      </w:r>
      <w:r>
        <w:rPr>
          <w:color w:val="000000"/>
          <w:sz w:val="28"/>
          <w:szCs w:val="28"/>
        </w:rPr>
        <w:t xml:space="preserve"> технической подготовки</w:t>
      </w:r>
      <w:r w:rsidRPr="00154DC7">
        <w:rPr>
          <w:color w:val="000000"/>
          <w:sz w:val="28"/>
          <w:szCs w:val="28"/>
        </w:rPr>
        <w:t xml:space="preserve">, выразительности, </w:t>
      </w:r>
      <w:r>
        <w:rPr>
          <w:color w:val="000000"/>
          <w:sz w:val="28"/>
          <w:szCs w:val="28"/>
        </w:rPr>
        <w:t>которая является одним из основных критериев оценивания соревновательной программы.</w:t>
      </w:r>
    </w:p>
    <w:p w:rsidR="00AB5AE9" w:rsidRPr="00154DC7" w:rsidRDefault="00AB5AE9" w:rsidP="00AB5A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4DC7">
        <w:rPr>
          <w:sz w:val="28"/>
          <w:szCs w:val="28"/>
        </w:rPr>
        <w:t xml:space="preserve">По мнению </w:t>
      </w:r>
      <w:r>
        <w:rPr>
          <w:sz w:val="28"/>
          <w:szCs w:val="28"/>
        </w:rPr>
        <w:t>Г. А. Манукяна (2019</w:t>
      </w:r>
      <w:r w:rsidRPr="00154DC7">
        <w:rPr>
          <w:sz w:val="28"/>
          <w:szCs w:val="28"/>
        </w:rPr>
        <w:t xml:space="preserve">), одним из условий успешного выступления </w:t>
      </w:r>
      <w:r>
        <w:rPr>
          <w:sz w:val="28"/>
          <w:szCs w:val="28"/>
        </w:rPr>
        <w:t xml:space="preserve">танцоров </w:t>
      </w:r>
      <w:r w:rsidRPr="00154DC7">
        <w:rPr>
          <w:sz w:val="28"/>
          <w:szCs w:val="28"/>
        </w:rPr>
        <w:t>на соревнованиях является не только</w:t>
      </w:r>
      <w:r>
        <w:rPr>
          <w:sz w:val="28"/>
          <w:szCs w:val="28"/>
        </w:rPr>
        <w:t xml:space="preserve"> оригинальность составленной композиции, но и техническая подготовленность каждого танцора команды</w:t>
      </w:r>
      <w:r w:rsidRPr="00154DC7">
        <w:rPr>
          <w:sz w:val="28"/>
          <w:szCs w:val="28"/>
        </w:rPr>
        <w:t xml:space="preserve">. </w:t>
      </w:r>
      <w:r w:rsidRPr="002D7433">
        <w:rPr>
          <w:sz w:val="28"/>
          <w:szCs w:val="28"/>
        </w:rPr>
        <w:t>Технической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подготовкой</w:t>
      </w:r>
      <w:r w:rsidRPr="002D7433">
        <w:rPr>
          <w:spacing w:val="1"/>
          <w:sz w:val="28"/>
          <w:szCs w:val="28"/>
        </w:rPr>
        <w:t xml:space="preserve">  </w:t>
      </w:r>
      <w:r w:rsidRPr="002D7433">
        <w:rPr>
          <w:sz w:val="28"/>
          <w:szCs w:val="28"/>
        </w:rPr>
        <w:t>называют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процесс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управления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формированием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знаний,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умений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и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навыков.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При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этом,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когда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речь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идет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о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техническом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совершенствование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принято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говорить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о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двигательном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навыке,</w:t>
      </w:r>
      <w:r w:rsidRPr="002D7433">
        <w:rPr>
          <w:spacing w:val="-67"/>
          <w:sz w:val="28"/>
          <w:szCs w:val="28"/>
        </w:rPr>
        <w:t xml:space="preserve"> </w:t>
      </w:r>
      <w:r w:rsidRPr="002D7433">
        <w:rPr>
          <w:sz w:val="28"/>
          <w:szCs w:val="28"/>
        </w:rPr>
        <w:t>когда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воспитывают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возможность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придать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движению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определенные</w:t>
      </w:r>
      <w:r w:rsidRPr="002D7433">
        <w:rPr>
          <w:spacing w:val="-67"/>
          <w:sz w:val="28"/>
          <w:szCs w:val="28"/>
        </w:rPr>
        <w:t xml:space="preserve"> </w:t>
      </w:r>
      <w:r w:rsidRPr="002D7433">
        <w:rPr>
          <w:sz w:val="28"/>
          <w:szCs w:val="28"/>
        </w:rPr>
        <w:t>эмоциональную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окраску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–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о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выразительном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двигательном</w:t>
      </w:r>
      <w:r w:rsidRPr="002D7433">
        <w:rPr>
          <w:spacing w:val="1"/>
          <w:sz w:val="28"/>
          <w:szCs w:val="28"/>
        </w:rPr>
        <w:t xml:space="preserve"> </w:t>
      </w:r>
      <w:r w:rsidRPr="002D7433">
        <w:rPr>
          <w:sz w:val="28"/>
          <w:szCs w:val="28"/>
        </w:rPr>
        <w:t>навыке.</w:t>
      </w:r>
    </w:p>
    <w:p w:rsidR="00AB5AE9" w:rsidRPr="00AB5AE9" w:rsidRDefault="00AB5AE9" w:rsidP="00AB5AE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54DC7">
        <w:rPr>
          <w:color w:val="000000"/>
          <w:sz w:val="28"/>
          <w:szCs w:val="28"/>
        </w:rPr>
        <w:t>При формировании музыкального и двигательного ритма при выполнении</w:t>
      </w:r>
      <w:r>
        <w:rPr>
          <w:color w:val="000000"/>
          <w:sz w:val="28"/>
          <w:szCs w:val="28"/>
        </w:rPr>
        <w:t xml:space="preserve"> соревновательной программы</w:t>
      </w:r>
      <w:r w:rsidRPr="00154DC7">
        <w:rPr>
          <w:color w:val="000000"/>
          <w:sz w:val="28"/>
          <w:szCs w:val="28"/>
        </w:rPr>
        <w:t xml:space="preserve">, многие тренеры и судьи в </w:t>
      </w:r>
      <w:r>
        <w:rPr>
          <w:color w:val="000000"/>
          <w:sz w:val="28"/>
          <w:szCs w:val="28"/>
        </w:rPr>
        <w:lastRenderedPageBreak/>
        <w:t xml:space="preserve">направлении хип-хоп </w:t>
      </w:r>
      <w:r w:rsidRPr="00154DC7">
        <w:rPr>
          <w:color w:val="000000"/>
          <w:sz w:val="28"/>
          <w:szCs w:val="28"/>
        </w:rPr>
        <w:t>рассматривают как способность передачи различных оттенков музыкального произведения по</w:t>
      </w:r>
      <w:r>
        <w:rPr>
          <w:color w:val="000000"/>
          <w:sz w:val="28"/>
          <w:szCs w:val="28"/>
        </w:rPr>
        <w:t>средством сложных танцевальных связок и оригинальных подборов музыкального сопровождения</w:t>
      </w:r>
      <w:r w:rsidRPr="00154DC7">
        <w:rPr>
          <w:color w:val="000000"/>
          <w:sz w:val="28"/>
          <w:szCs w:val="28"/>
        </w:rPr>
        <w:t xml:space="preserve">. Это позволяет и судьям, и зрителям воспринимать </w:t>
      </w:r>
      <w:r>
        <w:rPr>
          <w:color w:val="000000"/>
          <w:sz w:val="28"/>
          <w:szCs w:val="28"/>
        </w:rPr>
        <w:t xml:space="preserve">техническую </w:t>
      </w:r>
      <w:r w:rsidRPr="00154DC7">
        <w:rPr>
          <w:color w:val="000000"/>
          <w:sz w:val="28"/>
          <w:szCs w:val="28"/>
        </w:rPr>
        <w:t>картину</w:t>
      </w:r>
      <w:r>
        <w:rPr>
          <w:color w:val="000000"/>
          <w:sz w:val="28"/>
          <w:szCs w:val="28"/>
        </w:rPr>
        <w:t xml:space="preserve"> номера</w:t>
      </w:r>
      <w:r w:rsidRPr="00154DC7">
        <w:rPr>
          <w:color w:val="000000"/>
          <w:sz w:val="28"/>
          <w:szCs w:val="28"/>
        </w:rPr>
        <w:t>, что существенно важно для получения наивысшей оценки в соревнованиях разного уровня</w:t>
      </w:r>
      <w:r>
        <w:rPr>
          <w:color w:val="000000"/>
          <w:sz w:val="28"/>
          <w:szCs w:val="28"/>
        </w:rPr>
        <w:t>.</w:t>
      </w:r>
    </w:p>
    <w:p w:rsidR="00AB5AE9" w:rsidRDefault="00AB5AE9" w:rsidP="00AB5AE9">
      <w:pPr>
        <w:pStyle w:val="aa"/>
        <w:spacing w:before="1" w:line="360" w:lineRule="auto"/>
        <w:ind w:right="265" w:firstLine="566"/>
      </w:pPr>
      <w:r w:rsidRPr="00CC43B6">
        <w:t xml:space="preserve">Эта </w:t>
      </w:r>
      <w:r w:rsidRPr="00CC43B6">
        <w:rPr>
          <w:b/>
        </w:rPr>
        <w:t xml:space="preserve">проблема </w:t>
      </w:r>
      <w:r w:rsidRPr="00CC43B6">
        <w:t xml:space="preserve">обуславливает необходимость </w:t>
      </w:r>
      <w:r>
        <w:t>в использовании научно-методического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танцоров в направлении хип-хоп.</w:t>
      </w:r>
    </w:p>
    <w:p w:rsidR="00FC177F" w:rsidRDefault="00AB5AE9" w:rsidP="00AB5AE9">
      <w:pPr>
        <w:suppressAutoHyphens w:val="0"/>
        <w:spacing w:line="360" w:lineRule="auto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B5AE9">
        <w:rPr>
          <w:rFonts w:eastAsia="MS Mincho"/>
          <w:b/>
          <w:sz w:val="28"/>
          <w:szCs w:val="28"/>
          <w:lang w:eastAsia="ru-RU"/>
        </w:rPr>
        <w:t xml:space="preserve">Цель исследования </w:t>
      </w:r>
      <w:r w:rsidRPr="00AB5AE9">
        <w:rPr>
          <w:rFonts w:eastAsia="MS Mincho"/>
          <w:sz w:val="28"/>
          <w:szCs w:val="28"/>
          <w:lang w:eastAsia="ru-RU"/>
        </w:rPr>
        <w:t xml:space="preserve">– </w:t>
      </w:r>
      <w:r w:rsidRPr="00AB5AE9">
        <w:rPr>
          <w:rFonts w:eastAsia="MS Mincho"/>
          <w:sz w:val="28"/>
          <w:szCs w:val="28"/>
          <w:lang w:eastAsia="ja-JP"/>
        </w:rPr>
        <w:t>разработка методики технической подготовки танцоров 15-17 лет направления хип-хоп г. Сургута</w:t>
      </w:r>
    </w:p>
    <w:p w:rsidR="00355E30" w:rsidRDefault="00AB5AE9" w:rsidP="00355E30">
      <w:pPr>
        <w:suppressAutoHyphens w:val="0"/>
        <w:spacing w:line="360" w:lineRule="auto"/>
        <w:ind w:firstLine="709"/>
        <w:jc w:val="both"/>
        <w:rPr>
          <w:sz w:val="28"/>
          <w:lang w:eastAsia="ja-JP"/>
        </w:rPr>
      </w:pPr>
      <w:r w:rsidRPr="00AB5AE9">
        <w:rPr>
          <w:color w:val="000000"/>
          <w:sz w:val="28"/>
          <w:lang w:eastAsia="ja-JP"/>
        </w:rPr>
        <w:t xml:space="preserve">Исследование проводилось с октября 2020 по май 2022 г. на базе школы танцевального движения </w:t>
      </w:r>
      <w:r w:rsidRPr="00AB5AE9">
        <w:rPr>
          <w:color w:val="000000"/>
          <w:sz w:val="28"/>
          <w:lang w:val="en-US" w:eastAsia="ja-JP"/>
        </w:rPr>
        <w:t>NaumStyle</w:t>
      </w:r>
      <w:r w:rsidRPr="00AB5AE9">
        <w:rPr>
          <w:color w:val="000000"/>
          <w:sz w:val="28"/>
          <w:lang w:eastAsia="ja-JP"/>
        </w:rPr>
        <w:t>. В исследовании приняли участие воспитанники школы в возрасте 15-17 лет с одинаковым танцевальным опытом в количестве 20 человек под руководством главного тренера На</w:t>
      </w:r>
      <w:r w:rsidR="00355E30">
        <w:rPr>
          <w:color w:val="000000"/>
          <w:sz w:val="28"/>
          <w:lang w:eastAsia="ja-JP"/>
        </w:rPr>
        <w:t xml:space="preserve">умова Константина Владимировича </w:t>
      </w:r>
      <w:r w:rsidR="00355E30" w:rsidRPr="00355E30">
        <w:rPr>
          <w:sz w:val="28"/>
          <w:lang w:eastAsia="ja-JP"/>
        </w:rPr>
        <w:t xml:space="preserve">сборные  </w:t>
      </w:r>
      <w:r w:rsidR="00355E30" w:rsidRPr="00355E30">
        <w:rPr>
          <w:spacing w:val="11"/>
          <w:sz w:val="28"/>
          <w:lang w:eastAsia="ja-JP"/>
        </w:rPr>
        <w:t xml:space="preserve"> </w:t>
      </w:r>
      <w:r w:rsidR="00355E30" w:rsidRPr="00355E30">
        <w:rPr>
          <w:sz w:val="28"/>
          <w:lang w:eastAsia="ja-JP"/>
        </w:rPr>
        <w:t xml:space="preserve">команды города Сургута  </w:t>
      </w:r>
      <w:r w:rsidR="00355E30" w:rsidRPr="00355E30">
        <w:rPr>
          <w:spacing w:val="7"/>
          <w:sz w:val="28"/>
          <w:lang w:eastAsia="ja-JP"/>
        </w:rPr>
        <w:t xml:space="preserve"> </w:t>
      </w:r>
      <w:r w:rsidR="00355E30" w:rsidRPr="00355E30">
        <w:rPr>
          <w:sz w:val="28"/>
          <w:lang w:eastAsia="ja-JP"/>
        </w:rPr>
        <w:t xml:space="preserve">по  </w:t>
      </w:r>
      <w:r w:rsidR="00355E30" w:rsidRPr="00355E30">
        <w:rPr>
          <w:spacing w:val="11"/>
          <w:sz w:val="28"/>
          <w:lang w:eastAsia="ja-JP"/>
        </w:rPr>
        <w:t xml:space="preserve"> </w:t>
      </w:r>
      <w:r w:rsidR="00355E30" w:rsidRPr="00355E30">
        <w:rPr>
          <w:sz w:val="28"/>
          <w:lang w:eastAsia="ja-JP"/>
        </w:rPr>
        <w:t>хип-хопу «Bananarama» (КГ) и «Reckles J»</w:t>
      </w:r>
      <w:r w:rsidR="00355E30" w:rsidRPr="00355E30">
        <w:rPr>
          <w:spacing w:val="-4"/>
          <w:sz w:val="28"/>
          <w:lang w:eastAsia="ja-JP"/>
        </w:rPr>
        <w:t xml:space="preserve"> (ЭГ) </w:t>
      </w:r>
      <w:r w:rsidR="00355E30" w:rsidRPr="00355E30">
        <w:rPr>
          <w:sz w:val="28"/>
          <w:lang w:eastAsia="ja-JP"/>
        </w:rPr>
        <w:t>по 10 человек в каждой команде.</w:t>
      </w:r>
    </w:p>
    <w:p w:rsidR="00AB5AE9" w:rsidRPr="00355E30" w:rsidRDefault="00355E30" w:rsidP="00355E30">
      <w:pPr>
        <w:suppressAutoHyphens w:val="0"/>
        <w:spacing w:line="360" w:lineRule="auto"/>
        <w:ind w:firstLine="709"/>
        <w:jc w:val="both"/>
        <w:rPr>
          <w:color w:val="000000"/>
          <w:sz w:val="28"/>
          <w:lang w:eastAsia="ja-JP"/>
        </w:rPr>
      </w:pPr>
      <w:r>
        <w:rPr>
          <w:sz w:val="28"/>
          <w:lang w:eastAsia="ja-JP"/>
        </w:rPr>
        <w:t xml:space="preserve">Команда </w:t>
      </w:r>
      <w:r w:rsidRPr="00355E30">
        <w:rPr>
          <w:sz w:val="28"/>
          <w:lang w:eastAsia="ja-JP"/>
        </w:rPr>
        <w:t>«Bananarama»</w:t>
      </w:r>
      <w:r>
        <w:rPr>
          <w:sz w:val="28"/>
          <w:lang w:eastAsia="ja-JP"/>
        </w:rPr>
        <w:t xml:space="preserve"> тренировалась по стандартной методике подготовки танцоров, команда </w:t>
      </w:r>
      <w:r w:rsidRPr="00355E30">
        <w:rPr>
          <w:sz w:val="28"/>
          <w:lang w:eastAsia="ja-JP"/>
        </w:rPr>
        <w:t>«Reckles J»</w:t>
      </w:r>
      <w:r>
        <w:rPr>
          <w:sz w:val="28"/>
          <w:lang w:eastAsia="ja-JP"/>
        </w:rPr>
        <w:t xml:space="preserve"> тренировалась по новой методике технической подготовки в направлении хип-хоп.</w:t>
      </w:r>
    </w:p>
    <w:p w:rsidR="00900540" w:rsidRPr="00642056" w:rsidRDefault="00900540" w:rsidP="00642056">
      <w:pPr>
        <w:keepNext/>
        <w:suppressAutoHyphens w:val="0"/>
        <w:autoSpaceDE w:val="0"/>
        <w:autoSpaceDN w:val="0"/>
        <w:spacing w:line="360" w:lineRule="auto"/>
        <w:ind w:firstLine="709"/>
        <w:jc w:val="both"/>
        <w:outlineLvl w:val="3"/>
        <w:rPr>
          <w:b/>
          <w:color w:val="000000" w:themeColor="text1"/>
          <w:sz w:val="28"/>
          <w:szCs w:val="28"/>
        </w:rPr>
      </w:pPr>
      <w:r w:rsidRPr="00642056">
        <w:rPr>
          <w:b/>
          <w:color w:val="000000" w:themeColor="text1"/>
          <w:sz w:val="28"/>
          <w:szCs w:val="28"/>
        </w:rPr>
        <w:t xml:space="preserve">Методы исследования. </w:t>
      </w:r>
      <w:r w:rsidRPr="00642056">
        <w:rPr>
          <w:color w:val="000000" w:themeColor="text1"/>
          <w:sz w:val="28"/>
          <w:szCs w:val="28"/>
        </w:rPr>
        <w:t>Для решения поставленных в работе задач нами были использованы следующие методы исследования:</w:t>
      </w:r>
    </w:p>
    <w:p w:rsidR="00900540" w:rsidRPr="00642056" w:rsidRDefault="00900540" w:rsidP="00642056">
      <w:pPr>
        <w:suppressAutoHyphens w:val="0"/>
        <w:spacing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642056">
        <w:rPr>
          <w:color w:val="000000" w:themeColor="text1"/>
          <w:sz w:val="28"/>
          <w:szCs w:val="28"/>
          <w:lang w:eastAsia="ru-RU"/>
        </w:rPr>
        <w:t>- теоретический анализ и обобщение научно-методической литературы;</w:t>
      </w:r>
    </w:p>
    <w:p w:rsidR="00900540" w:rsidRPr="00642056" w:rsidRDefault="00900540" w:rsidP="00642056">
      <w:pPr>
        <w:suppressAutoHyphens w:val="0"/>
        <w:spacing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642056">
        <w:rPr>
          <w:color w:val="000000" w:themeColor="text1"/>
          <w:sz w:val="28"/>
          <w:szCs w:val="28"/>
          <w:lang w:eastAsia="ru-RU"/>
        </w:rPr>
        <w:t>- педагогическое наблюдение;</w:t>
      </w:r>
    </w:p>
    <w:p w:rsidR="00900540" w:rsidRPr="00642056" w:rsidRDefault="00900540" w:rsidP="00642056">
      <w:pPr>
        <w:suppressAutoHyphens w:val="0"/>
        <w:spacing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642056">
        <w:rPr>
          <w:color w:val="000000" w:themeColor="text1"/>
          <w:sz w:val="28"/>
          <w:szCs w:val="28"/>
          <w:lang w:eastAsia="ru-RU"/>
        </w:rPr>
        <w:t>- педагогический эксперимент</w:t>
      </w:r>
    </w:p>
    <w:p w:rsidR="00900540" w:rsidRPr="00642056" w:rsidRDefault="00900540" w:rsidP="00642056">
      <w:pPr>
        <w:spacing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642056">
        <w:rPr>
          <w:color w:val="000000" w:themeColor="text1"/>
          <w:sz w:val="28"/>
          <w:szCs w:val="28"/>
          <w:lang w:eastAsia="ru-RU"/>
        </w:rPr>
        <w:t>- методы математической статистики.</w:t>
      </w:r>
    </w:p>
    <w:p w:rsidR="00355E30" w:rsidRDefault="003C532B" w:rsidP="00355E30">
      <w:pPr>
        <w:spacing w:before="161" w:line="360" w:lineRule="auto"/>
        <w:ind w:left="220" w:right="266" w:firstLine="566"/>
        <w:jc w:val="both"/>
        <w:rPr>
          <w:sz w:val="28"/>
        </w:rPr>
      </w:pPr>
      <w:r w:rsidRPr="00642056">
        <w:rPr>
          <w:b/>
          <w:color w:val="000000" w:themeColor="text1"/>
          <w:sz w:val="28"/>
          <w:szCs w:val="28"/>
          <w:lang w:eastAsia="ru-RU"/>
        </w:rPr>
        <w:t xml:space="preserve">Результат исследования. </w:t>
      </w:r>
      <w:r w:rsidR="00355E30">
        <w:rPr>
          <w:sz w:val="28"/>
        </w:rPr>
        <w:t xml:space="preserve">Для оценки уровня технической подготовленности танцовщиков направления «хип-хоп», нами были приглашены независимые эксперты в лице Артемия Манукяна (президент федерации HHI в России, тренер сборной команды, 2-кратных чемпионов </w:t>
      </w:r>
      <w:r w:rsidR="00355E30">
        <w:rPr>
          <w:sz w:val="28"/>
        </w:rPr>
        <w:lastRenderedPageBreak/>
        <w:t>мира), Дениса Острова(тренер 3-кратных чемпионов России по версии HHI, судья международной категории), Елены Антиповой (двухкратная чемпионка России и мира по версии HHI в составе команды Banda ILL).</w:t>
      </w:r>
    </w:p>
    <w:p w:rsidR="00355E30" w:rsidRPr="00EE24B3" w:rsidRDefault="00355E30" w:rsidP="00355E30">
      <w:pPr>
        <w:spacing w:before="161" w:line="360" w:lineRule="auto"/>
        <w:ind w:left="220" w:right="266" w:firstLine="566"/>
        <w:jc w:val="right"/>
        <w:rPr>
          <w:b/>
          <w:sz w:val="28"/>
        </w:rPr>
      </w:pPr>
      <w:r w:rsidRPr="00EE24B3">
        <w:rPr>
          <w:b/>
          <w:sz w:val="28"/>
        </w:rPr>
        <w:t>Таблица 1</w:t>
      </w:r>
    </w:p>
    <w:p w:rsidR="00355E30" w:rsidRDefault="00355E30" w:rsidP="00355E30">
      <w:pPr>
        <w:spacing w:before="161" w:line="360" w:lineRule="auto"/>
        <w:ind w:left="220" w:right="266" w:firstLine="566"/>
        <w:jc w:val="center"/>
        <w:rPr>
          <w:b/>
          <w:sz w:val="28"/>
        </w:rPr>
      </w:pPr>
      <w:r>
        <w:rPr>
          <w:b/>
          <w:sz w:val="28"/>
        </w:rPr>
        <w:t>Связки для оценивания уровня технической подготовки танцовщиков направления «хип-хоп»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3127"/>
        <w:gridCol w:w="3118"/>
      </w:tblGrid>
      <w:tr w:rsidR="00355E30" w:rsidTr="00666866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E30" w:rsidRDefault="00355E30" w:rsidP="00666866">
            <w:pPr>
              <w:widowControl w:val="0"/>
              <w:spacing w:line="33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1-связка «Hip-hop»</w:t>
            </w:r>
          </w:p>
          <w:p w:rsidR="00355E30" w:rsidRDefault="00355E30" w:rsidP="00666866">
            <w:pPr>
              <w:widowControl w:val="0"/>
              <w:tabs>
                <w:tab w:val="center" w:pos="1442"/>
              </w:tabs>
              <w:spacing w:line="336" w:lineRule="auto"/>
              <w:jc w:val="center"/>
            </w:pPr>
            <w:r>
              <w:rPr>
                <w:b/>
                <w:color w:val="000000"/>
                <w:sz w:val="28"/>
              </w:rPr>
              <w:t>40 сек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E30" w:rsidRDefault="00355E30" w:rsidP="00666866">
            <w:pPr>
              <w:widowControl w:val="0"/>
              <w:spacing w:line="33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2-связка «Waacking»</w:t>
            </w:r>
          </w:p>
          <w:p w:rsidR="00355E30" w:rsidRDefault="00355E30" w:rsidP="00666866">
            <w:pPr>
              <w:widowControl w:val="0"/>
              <w:spacing w:line="336" w:lineRule="auto"/>
              <w:jc w:val="center"/>
            </w:pPr>
            <w:r>
              <w:rPr>
                <w:b/>
                <w:color w:val="000000"/>
                <w:sz w:val="28"/>
              </w:rPr>
              <w:t>35 сек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E30" w:rsidRDefault="00355E30" w:rsidP="00666866">
            <w:pPr>
              <w:widowControl w:val="0"/>
              <w:spacing w:line="33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3-связка «Locking»</w:t>
            </w:r>
          </w:p>
          <w:p w:rsidR="00355E30" w:rsidRDefault="00355E30" w:rsidP="00666866">
            <w:pPr>
              <w:widowControl w:val="0"/>
              <w:spacing w:line="336" w:lineRule="auto"/>
              <w:jc w:val="center"/>
            </w:pPr>
            <w:r>
              <w:rPr>
                <w:b/>
                <w:color w:val="000000"/>
                <w:sz w:val="28"/>
              </w:rPr>
              <w:t>30 сек</w:t>
            </w:r>
          </w:p>
        </w:tc>
      </w:tr>
    </w:tbl>
    <w:p w:rsidR="003C532B" w:rsidRPr="00355E30" w:rsidRDefault="00355E30" w:rsidP="00355E30">
      <w:pPr>
        <w:spacing w:before="161" w:line="360" w:lineRule="auto"/>
        <w:ind w:left="220" w:right="266" w:firstLine="566"/>
        <w:jc w:val="both"/>
        <w:rPr>
          <w:color w:val="000000"/>
          <w:sz w:val="28"/>
          <w:szCs w:val="28"/>
        </w:rPr>
      </w:pPr>
      <w:r w:rsidRPr="00EF387F">
        <w:rPr>
          <w:color w:val="000000"/>
          <w:sz w:val="28"/>
          <w:szCs w:val="28"/>
        </w:rPr>
        <w:t>Все связки были взяты из соревновательной композиции, уровни сложности не отличались.</w:t>
      </w:r>
    </w:p>
    <w:p w:rsidR="00355E30" w:rsidRPr="00355E30" w:rsidRDefault="00355E30" w:rsidP="00355E30">
      <w:pPr>
        <w:spacing w:before="161"/>
        <w:ind w:right="266" w:firstLine="851"/>
        <w:jc w:val="both"/>
        <w:rPr>
          <w:color w:val="000000"/>
          <w:sz w:val="28"/>
          <w:szCs w:val="28"/>
        </w:rPr>
      </w:pPr>
      <w:r w:rsidRPr="00EF387F">
        <w:rPr>
          <w:color w:val="000000"/>
          <w:sz w:val="28"/>
          <w:szCs w:val="28"/>
        </w:rPr>
        <w:t>Ди</w:t>
      </w:r>
      <w:r>
        <w:rPr>
          <w:color w:val="000000"/>
          <w:sz w:val="28"/>
          <w:szCs w:val="28"/>
        </w:rPr>
        <w:t>намика показателей технической подготовки</w:t>
      </w:r>
      <w:r w:rsidRPr="00EF387F">
        <w:rPr>
          <w:color w:val="000000"/>
          <w:sz w:val="28"/>
          <w:szCs w:val="28"/>
        </w:rPr>
        <w:t xml:space="preserve"> в ходе педагогического эксперимента изменилась следующим образом:</w:t>
      </w:r>
    </w:p>
    <w:p w:rsidR="00355E30" w:rsidRDefault="00355E30" w:rsidP="00355E30">
      <w:pPr>
        <w:spacing w:before="161"/>
        <w:ind w:right="266"/>
        <w:jc w:val="right"/>
        <w:rPr>
          <w:b/>
          <w:color w:val="000000"/>
          <w:sz w:val="26"/>
        </w:rPr>
      </w:pPr>
      <w:r>
        <w:rPr>
          <w:b/>
          <w:color w:val="000000"/>
          <w:sz w:val="26"/>
        </w:rPr>
        <w:t>Таблица 2</w:t>
      </w:r>
    </w:p>
    <w:p w:rsidR="00355E30" w:rsidRDefault="00355E30" w:rsidP="00355E30">
      <w:pPr>
        <w:spacing w:before="161"/>
        <w:ind w:left="220" w:right="266" w:firstLine="566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Динамика показателей технической подготовки до и после эксперимента в КГ и ЭГ (Х±δ), баллы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599"/>
        <w:gridCol w:w="2319"/>
        <w:gridCol w:w="2318"/>
        <w:gridCol w:w="1674"/>
      </w:tblGrid>
      <w:tr w:rsidR="00355E30" w:rsidRPr="00355E30" w:rsidTr="00355E30">
        <w:trPr>
          <w:trHeight w:val="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До эксперимента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После эксперимента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Прирост %</w:t>
            </w:r>
          </w:p>
        </w:tc>
      </w:tr>
      <w:tr w:rsidR="00355E30" w:rsidRPr="00355E30" w:rsidTr="00355E30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1-связка</w:t>
            </w:r>
          </w:p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3,68±0,21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3,77±0,19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1,8</w:t>
            </w:r>
          </w:p>
        </w:tc>
      </w:tr>
      <w:tr w:rsidR="00355E30" w:rsidRPr="00355E30" w:rsidTr="00355E30">
        <w:trPr>
          <w:trHeight w:val="1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ЭГ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3,72±0,20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4,52±0,25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16</w:t>
            </w:r>
          </w:p>
        </w:tc>
      </w:tr>
      <w:tr w:rsidR="00355E30" w:rsidRPr="00355E30" w:rsidTr="00355E30">
        <w:trPr>
          <w:trHeight w:val="1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2-связка</w:t>
            </w:r>
          </w:p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3,69±0,16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3,78±0,14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1,8</w:t>
            </w:r>
          </w:p>
        </w:tc>
      </w:tr>
      <w:tr w:rsidR="00355E30" w:rsidRPr="00355E30" w:rsidTr="00355E30">
        <w:trPr>
          <w:trHeight w:val="1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ЭГ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3,66±0,24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4,47±0,17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16,2</w:t>
            </w:r>
          </w:p>
        </w:tc>
      </w:tr>
      <w:tr w:rsidR="00355E30" w:rsidRPr="00355E30" w:rsidTr="00355E30">
        <w:trPr>
          <w:trHeight w:val="1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3-связка</w:t>
            </w:r>
          </w:p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3,61±0,12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3,73±0,16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2,4</w:t>
            </w:r>
          </w:p>
        </w:tc>
      </w:tr>
      <w:tr w:rsidR="00355E30" w:rsidRPr="00355E30" w:rsidTr="00355E30">
        <w:trPr>
          <w:trHeight w:val="1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ЭГ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3,68±0,21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4,35±0,18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E30" w:rsidRPr="00355E30" w:rsidRDefault="00355E30" w:rsidP="00355E30">
            <w:pPr>
              <w:jc w:val="center"/>
              <w:rPr>
                <w:sz w:val="28"/>
                <w:szCs w:val="28"/>
              </w:rPr>
            </w:pPr>
            <w:r w:rsidRPr="00355E30">
              <w:rPr>
                <w:sz w:val="28"/>
                <w:szCs w:val="28"/>
              </w:rPr>
              <w:t>13,4</w:t>
            </w:r>
          </w:p>
        </w:tc>
      </w:tr>
    </w:tbl>
    <w:p w:rsidR="00355E30" w:rsidRDefault="00355E30" w:rsidP="00355E30">
      <w:pPr>
        <w:spacing w:before="161"/>
        <w:ind w:left="220" w:right="266" w:firstLine="566"/>
        <w:jc w:val="both"/>
        <w:rPr>
          <w:color w:val="000000"/>
          <w:sz w:val="26"/>
        </w:rPr>
      </w:pPr>
    </w:p>
    <w:p w:rsidR="00666866" w:rsidRDefault="00666866" w:rsidP="00666866">
      <w:pPr>
        <w:widowControl w:val="0"/>
        <w:spacing w:line="360" w:lineRule="auto"/>
        <w:ind w:firstLine="851"/>
        <w:jc w:val="right"/>
        <w:rPr>
          <w:b/>
          <w:sz w:val="28"/>
        </w:rPr>
      </w:pPr>
      <w:r>
        <w:rPr>
          <w:b/>
          <w:sz w:val="28"/>
        </w:rPr>
        <w:t>Таблица 3</w:t>
      </w:r>
    </w:p>
    <w:p w:rsidR="00666866" w:rsidRDefault="00666866" w:rsidP="00666866">
      <w:pPr>
        <w:widowControl w:val="0"/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Сравнительные характеристики показателей уровня технической подготовки до и после эксперимента в КГ и ЭГ(</w:t>
      </w:r>
      <w:r>
        <w:rPr>
          <w:b/>
          <w:color w:val="000000"/>
          <w:sz w:val="28"/>
        </w:rPr>
        <w:t>Х</w:t>
      </w:r>
      <w:r>
        <w:rPr>
          <w:b/>
          <w:sz w:val="28"/>
        </w:rPr>
        <w:t>±δ), баллы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020"/>
        <w:gridCol w:w="1579"/>
        <w:gridCol w:w="1387"/>
        <w:gridCol w:w="1376"/>
        <w:gridCol w:w="1387"/>
        <w:gridCol w:w="1444"/>
      </w:tblGrid>
      <w:tr w:rsidR="00666866" w:rsidTr="00BC721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Тест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Группа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До эксперимента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После эксперимента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Прирост %</w:t>
            </w:r>
          </w:p>
        </w:tc>
      </w:tr>
      <w:tr w:rsidR="00666866" w:rsidTr="00BC721C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Х</w:t>
            </w:r>
            <w:r>
              <w:rPr>
                <w:sz w:val="26"/>
              </w:rPr>
              <w:t>±δ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tкр. 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</w:pPr>
            <w:r>
              <w:rPr>
                <w:sz w:val="26"/>
              </w:rPr>
              <w:t>Х±δ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</w:pPr>
            <w:r>
              <w:rPr>
                <w:sz w:val="26"/>
              </w:rPr>
              <w:t>tкр. Ст.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</w:pPr>
          </w:p>
        </w:tc>
      </w:tr>
      <w:tr w:rsidR="00666866" w:rsidTr="00BC721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1-связка</w:t>
            </w:r>
          </w:p>
          <w:p w:rsidR="00666866" w:rsidRDefault="00666866" w:rsidP="00BC721C">
            <w:pPr>
              <w:widowControl w:val="0"/>
              <w:spacing w:line="312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3,68</w:t>
            </w:r>
            <w:r>
              <w:rPr>
                <w:sz w:val="26"/>
              </w:rPr>
              <w:t>±0,21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p&gt;0,05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3,77</w:t>
            </w:r>
            <w:r>
              <w:rPr>
                <w:sz w:val="26"/>
              </w:rPr>
              <w:t>±0,19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p&lt;0,05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1,8</w:t>
            </w:r>
          </w:p>
        </w:tc>
      </w:tr>
      <w:tr w:rsidR="00666866" w:rsidTr="00BC721C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ЭГ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3,72</w:t>
            </w:r>
            <w:r>
              <w:rPr>
                <w:sz w:val="26"/>
              </w:rPr>
              <w:t>±0,20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4,52</w:t>
            </w:r>
            <w:r>
              <w:rPr>
                <w:sz w:val="26"/>
              </w:rPr>
              <w:t>±0,25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16</w:t>
            </w:r>
          </w:p>
        </w:tc>
      </w:tr>
      <w:tr w:rsidR="00666866" w:rsidTr="00BC721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2-связка</w:t>
            </w:r>
          </w:p>
          <w:p w:rsidR="00666866" w:rsidRDefault="00666866" w:rsidP="00BC721C">
            <w:pPr>
              <w:widowControl w:val="0"/>
              <w:spacing w:line="312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3,69</w:t>
            </w:r>
            <w:r>
              <w:rPr>
                <w:sz w:val="26"/>
              </w:rPr>
              <w:t>±</w:t>
            </w:r>
            <w:r>
              <w:rPr>
                <w:color w:val="000000"/>
                <w:sz w:val="26"/>
              </w:rPr>
              <w:t>0,16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p&gt;0,05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3,78</w:t>
            </w:r>
            <w:r>
              <w:rPr>
                <w:sz w:val="26"/>
              </w:rPr>
              <w:t>±</w:t>
            </w:r>
            <w:r>
              <w:rPr>
                <w:color w:val="000000"/>
                <w:sz w:val="26"/>
              </w:rPr>
              <w:t>0,14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p&lt;0,05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1,8</w:t>
            </w:r>
          </w:p>
        </w:tc>
      </w:tr>
      <w:tr w:rsidR="00666866" w:rsidTr="00BC721C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ЭГ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3,66</w:t>
            </w:r>
            <w:r>
              <w:rPr>
                <w:sz w:val="26"/>
              </w:rPr>
              <w:t>±</w:t>
            </w:r>
            <w:r>
              <w:rPr>
                <w:color w:val="000000"/>
                <w:sz w:val="26"/>
              </w:rPr>
              <w:t>0,24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4,47</w:t>
            </w:r>
            <w:r>
              <w:rPr>
                <w:sz w:val="26"/>
              </w:rPr>
              <w:t>±</w:t>
            </w:r>
            <w:r>
              <w:rPr>
                <w:color w:val="000000"/>
                <w:sz w:val="26"/>
              </w:rPr>
              <w:t>0,17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16,2</w:t>
            </w:r>
          </w:p>
        </w:tc>
      </w:tr>
      <w:tr w:rsidR="00666866" w:rsidTr="00BC721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3-связка</w:t>
            </w:r>
          </w:p>
          <w:p w:rsidR="00666866" w:rsidRDefault="00666866" w:rsidP="00BC721C">
            <w:pPr>
              <w:widowControl w:val="0"/>
              <w:spacing w:line="312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3,61</w:t>
            </w:r>
            <w:r>
              <w:rPr>
                <w:sz w:val="26"/>
              </w:rPr>
              <w:t>±</w:t>
            </w:r>
            <w:r>
              <w:rPr>
                <w:color w:val="000000"/>
                <w:sz w:val="26"/>
              </w:rPr>
              <w:t>0,12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p&gt;0,05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3,73</w:t>
            </w:r>
            <w:r>
              <w:rPr>
                <w:sz w:val="26"/>
              </w:rPr>
              <w:t>±</w:t>
            </w:r>
            <w:r>
              <w:rPr>
                <w:color w:val="000000"/>
                <w:sz w:val="26"/>
              </w:rPr>
              <w:t>0,16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p&lt;0,05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2,4</w:t>
            </w:r>
          </w:p>
        </w:tc>
      </w:tr>
      <w:tr w:rsidR="00666866" w:rsidTr="00BC721C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ЭГ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3,68</w:t>
            </w:r>
            <w:r>
              <w:rPr>
                <w:sz w:val="26"/>
              </w:rPr>
              <w:t>±</w:t>
            </w:r>
            <w:r>
              <w:rPr>
                <w:color w:val="000000"/>
                <w:sz w:val="26"/>
              </w:rPr>
              <w:t>0,21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color w:val="000000"/>
                <w:sz w:val="26"/>
              </w:rPr>
              <w:t>4,35</w:t>
            </w:r>
            <w:r>
              <w:rPr>
                <w:sz w:val="26"/>
              </w:rPr>
              <w:t>±</w:t>
            </w:r>
            <w:r>
              <w:rPr>
                <w:color w:val="000000"/>
                <w:sz w:val="26"/>
              </w:rPr>
              <w:t>0,18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Default="00666866" w:rsidP="00BC721C">
            <w:pPr>
              <w:widowControl w:val="0"/>
              <w:spacing w:line="312" w:lineRule="auto"/>
              <w:jc w:val="center"/>
            </w:pPr>
            <w:r>
              <w:rPr>
                <w:sz w:val="26"/>
              </w:rPr>
              <w:t>13,4</w:t>
            </w:r>
          </w:p>
        </w:tc>
      </w:tr>
    </w:tbl>
    <w:p w:rsidR="00642056" w:rsidRDefault="00642056" w:rsidP="0064205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666866" w:rsidRDefault="00666866" w:rsidP="00666866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начало эксперимента показатели технической подготовки в КГ и ЭГ достоверно не различались. После эксперимента, при выполнении 1-ой связки результаты ЭГ зафиксировали прирост на 16%, в КГ прирост составил 1,8%, при выполнении 2-ой связки прирост в ЭГ составил 16,2%, а в КГ 1,8%, при выполнении 3-ей связки в ЭГ прирост составил 13,4 %, а в КГ 2,4%.</w:t>
      </w:r>
    </w:p>
    <w:p w:rsidR="00666866" w:rsidRPr="00666866" w:rsidRDefault="00666866" w:rsidP="00666866">
      <w:pPr>
        <w:tabs>
          <w:tab w:val="left" w:pos="8550"/>
        </w:tabs>
        <w:suppressAutoHyphens w:val="0"/>
        <w:spacing w:line="360" w:lineRule="auto"/>
        <w:jc w:val="right"/>
        <w:rPr>
          <w:b/>
          <w:color w:val="000000"/>
          <w:sz w:val="28"/>
          <w:lang w:eastAsia="ja-JP"/>
        </w:rPr>
      </w:pPr>
      <w:r>
        <w:rPr>
          <w:b/>
          <w:color w:val="000000"/>
          <w:sz w:val="28"/>
          <w:lang w:eastAsia="ja-JP"/>
        </w:rPr>
        <w:t>Таблица 4</w:t>
      </w:r>
    </w:p>
    <w:p w:rsidR="00666866" w:rsidRPr="00666866" w:rsidRDefault="00666866" w:rsidP="00666866">
      <w:pPr>
        <w:keepNext/>
        <w:suppressAutoHyphens w:val="0"/>
        <w:spacing w:line="360" w:lineRule="auto"/>
        <w:jc w:val="center"/>
        <w:rPr>
          <w:b/>
          <w:color w:val="000000"/>
          <w:sz w:val="28"/>
          <w:lang w:eastAsia="ja-JP"/>
        </w:rPr>
      </w:pPr>
      <w:r w:rsidRPr="00666866">
        <w:rPr>
          <w:b/>
          <w:color w:val="000000"/>
          <w:sz w:val="28"/>
          <w:lang w:eastAsia="ja-JP"/>
        </w:rPr>
        <w:t>Сравнительные характеристики показателей технической подготовки в экспериментальной и контрольной группах</w:t>
      </w:r>
      <w:r>
        <w:rPr>
          <w:b/>
          <w:color w:val="000000"/>
          <w:sz w:val="28"/>
          <w:lang w:eastAsia="ja-JP"/>
        </w:rPr>
        <w:t xml:space="preserve"> в соревновательной деятельности</w:t>
      </w:r>
      <w:r w:rsidRPr="00666866">
        <w:rPr>
          <w:b/>
          <w:color w:val="000000"/>
          <w:sz w:val="28"/>
          <w:lang w:eastAsia="ja-JP"/>
        </w:rPr>
        <w:t>, баллы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563"/>
        <w:gridCol w:w="563"/>
        <w:gridCol w:w="1041"/>
        <w:gridCol w:w="1084"/>
        <w:gridCol w:w="563"/>
        <w:gridCol w:w="563"/>
        <w:gridCol w:w="1041"/>
        <w:gridCol w:w="1067"/>
        <w:gridCol w:w="1576"/>
      </w:tblGrid>
      <w:tr w:rsidR="00666866" w:rsidRPr="00666866" w:rsidTr="00BC721C">
        <w:trPr>
          <w:cantSplit/>
          <w:jc w:val="center"/>
        </w:trPr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Группа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До эксперимента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После эксперимента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Прирост, %</w:t>
            </w:r>
          </w:p>
        </w:tc>
      </w:tr>
      <w:tr w:rsidR="00666866" w:rsidRPr="00666866" w:rsidTr="00BC721C">
        <w:trPr>
          <w:cantSplit/>
          <w:jc w:val="center"/>
        </w:trPr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after="200" w:line="276" w:lineRule="auto"/>
              <w:rPr>
                <w:rFonts w:ascii="Calibri" w:eastAsia="Calibri" w:hAnsi="Calibri" w:cs="Calibri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p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after="200" w:line="276" w:lineRule="auto"/>
              <w:rPr>
                <w:rFonts w:ascii="Cambria" w:eastAsia="MS Mincho" w:hAnsi="Cambria"/>
                <w:lang w:eastAsia="ja-JP"/>
              </w:rPr>
            </w:pPr>
          </w:p>
        </w:tc>
      </w:tr>
      <w:tr w:rsidR="00666866" w:rsidRPr="00666866" w:rsidTr="00BC721C">
        <w:trPr>
          <w:cantSplit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0,3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2</w:t>
            </w:r>
            <w:r w:rsidRPr="00666866">
              <w:rPr>
                <w:b/>
                <w:color w:val="000000"/>
                <w:sz w:val="26"/>
                <w:lang w:eastAsia="ja-JP"/>
              </w:rPr>
              <w:t>,</w:t>
            </w:r>
            <w:r w:rsidRPr="00666866">
              <w:rPr>
                <w:color w:val="000000"/>
                <w:sz w:val="26"/>
                <w:lang w:eastAsia="ja-JP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&gt;0,05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0,2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ind w:left="-108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&lt;0,05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1,4</w:t>
            </w:r>
          </w:p>
        </w:tc>
      </w:tr>
      <w:tr w:rsidR="00666866" w:rsidRPr="00666866" w:rsidTr="00BC721C">
        <w:trPr>
          <w:cantSplit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ЭГ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0,3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after="200" w:line="276" w:lineRule="auto"/>
              <w:rPr>
                <w:rFonts w:ascii="Cambria" w:eastAsia="MS Mincho" w:hAnsi="Cambria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after="200" w:line="276" w:lineRule="auto"/>
              <w:rPr>
                <w:rFonts w:ascii="Cambria" w:eastAsia="MS Mincho" w:hAnsi="Cambria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7,9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0,1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after="200" w:line="276" w:lineRule="auto"/>
              <w:rPr>
                <w:rFonts w:ascii="Cambria" w:eastAsia="MS Mincho" w:hAnsi="Cambria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after="200" w:line="276" w:lineRule="auto"/>
              <w:rPr>
                <w:rFonts w:ascii="Cambria" w:eastAsia="MS Mincho" w:hAnsi="Cambria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6866" w:rsidRPr="00666866" w:rsidRDefault="00666866" w:rsidP="00666866">
            <w:pPr>
              <w:suppressAutoHyphens w:val="0"/>
              <w:spacing w:line="360" w:lineRule="auto"/>
              <w:jc w:val="center"/>
              <w:rPr>
                <w:rFonts w:ascii="Cambria" w:eastAsia="MS Mincho" w:hAnsi="Cambria"/>
                <w:lang w:eastAsia="ja-JP"/>
              </w:rPr>
            </w:pPr>
            <w:r w:rsidRPr="00666866">
              <w:rPr>
                <w:color w:val="000000"/>
                <w:sz w:val="26"/>
                <w:lang w:eastAsia="ja-JP"/>
              </w:rPr>
              <w:t>11</w:t>
            </w:r>
          </w:p>
        </w:tc>
      </w:tr>
    </w:tbl>
    <w:p w:rsidR="00666866" w:rsidRDefault="00666866" w:rsidP="00666866">
      <w:pPr>
        <w:suppressAutoHyphens w:val="0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666866" w:rsidRDefault="00666866" w:rsidP="00666866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начало экспериментa показатели </w:t>
      </w:r>
      <w:r>
        <w:rPr>
          <w:color w:val="000000"/>
          <w:sz w:val="28"/>
        </w:rPr>
        <w:t xml:space="preserve">технической подготовки </w:t>
      </w:r>
      <w:r>
        <w:rPr>
          <w:color w:val="000000"/>
          <w:sz w:val="28"/>
        </w:rPr>
        <w:t xml:space="preserve">в экспериментальной и контрольной группах достоверно не различались. После эксперимента результаты соревнований танцоров 15-17 лет экспериментальной группы зaфиксировали прирост на 11%, в контрольной группе прирост на 1,4%. </w:t>
      </w:r>
    </w:p>
    <w:p w:rsidR="00666866" w:rsidRDefault="00666866" w:rsidP="00666866">
      <w:pPr>
        <w:spacing w:line="360" w:lineRule="auto"/>
        <w:jc w:val="both"/>
        <w:rPr>
          <w:color w:val="000000"/>
          <w:sz w:val="28"/>
        </w:rPr>
      </w:pPr>
      <w:r w:rsidRPr="000C5FBC">
        <w:rPr>
          <w:noProof/>
          <w:lang w:eastAsia="ru-RU"/>
        </w:rPr>
        <w:lastRenderedPageBreak/>
        <w:drawing>
          <wp:inline distT="0" distB="0" distL="0" distR="0" wp14:anchorId="334F76EB" wp14:editId="0A91D6A3">
            <wp:extent cx="5800725" cy="3171825"/>
            <wp:effectExtent l="0" t="0" r="9525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6866" w:rsidRDefault="00666866" w:rsidP="00666866">
      <w:pPr>
        <w:spacing w:line="360" w:lineRule="auto"/>
        <w:jc w:val="both"/>
        <w:rPr>
          <w:color w:val="000000"/>
          <w:sz w:val="28"/>
        </w:rPr>
      </w:pPr>
    </w:p>
    <w:p w:rsidR="00666866" w:rsidRDefault="00666866" w:rsidP="00666866">
      <w:pPr>
        <w:keepNext/>
        <w:spacing w:line="360" w:lineRule="auto"/>
        <w:rPr>
          <w:sz w:val="28"/>
        </w:rPr>
      </w:pPr>
      <w:r>
        <w:rPr>
          <w:sz w:val="28"/>
        </w:rPr>
        <w:t>Рис. 1</w:t>
      </w:r>
      <w:r>
        <w:rPr>
          <w:sz w:val="28"/>
        </w:rPr>
        <w:t>. Результаты соревнований, баллы.</w:t>
      </w:r>
    </w:p>
    <w:p w:rsidR="00666866" w:rsidRPr="00666866" w:rsidRDefault="00666866" w:rsidP="0066686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конец исследования прирост результатов экспериментальной группы превосходит </w:t>
      </w:r>
      <w:r>
        <w:rPr>
          <w:color w:val="000000"/>
          <w:sz w:val="28"/>
        </w:rPr>
        <w:t xml:space="preserve">танцоров </w:t>
      </w:r>
      <w:r>
        <w:rPr>
          <w:color w:val="000000"/>
          <w:sz w:val="28"/>
        </w:rPr>
        <w:t>контрольной группы на 9,6% и отмечаются достоверные различия между полученными средними ар</w:t>
      </w:r>
      <w:r>
        <w:rPr>
          <w:color w:val="000000"/>
          <w:sz w:val="28"/>
        </w:rPr>
        <w:t>ифметическими значениями (рис. 1</w:t>
      </w:r>
      <w:r>
        <w:rPr>
          <w:color w:val="000000"/>
          <w:sz w:val="28"/>
        </w:rPr>
        <w:t>).</w:t>
      </w:r>
    </w:p>
    <w:p w:rsidR="006B347D" w:rsidRPr="00642056" w:rsidRDefault="00666866" w:rsidP="00666866">
      <w:pPr>
        <w:suppressAutoHyphens w:val="0"/>
        <w:spacing w:line="360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</w:t>
      </w:r>
      <w:r w:rsidR="006B347D" w:rsidRPr="00642056">
        <w:rPr>
          <w:b/>
          <w:color w:val="000000" w:themeColor="text1"/>
          <w:sz w:val="28"/>
          <w:szCs w:val="28"/>
          <w:lang w:eastAsia="ru-RU"/>
        </w:rPr>
        <w:t xml:space="preserve">Выводы. </w:t>
      </w:r>
    </w:p>
    <w:p w:rsidR="006B347D" w:rsidRPr="00642056" w:rsidRDefault="006B347D" w:rsidP="00642056">
      <w:pPr>
        <w:suppressAutoHyphens w:val="0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2056">
        <w:rPr>
          <w:color w:val="000000" w:themeColor="text1"/>
          <w:sz w:val="28"/>
          <w:szCs w:val="28"/>
          <w:lang w:eastAsia="ru-RU"/>
        </w:rPr>
        <w:t>1.</w:t>
      </w:r>
      <w:r w:rsidRPr="00642056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642056">
        <w:rPr>
          <w:color w:val="000000" w:themeColor="text1"/>
          <w:sz w:val="28"/>
          <w:szCs w:val="28"/>
          <w:shd w:val="clear" w:color="auto" w:fill="FFFFFF"/>
        </w:rPr>
        <w:t xml:space="preserve">Анализ научно-методической литературы показал, что проблемой в подготовке </w:t>
      </w:r>
      <w:r w:rsidR="00666866">
        <w:rPr>
          <w:color w:val="000000" w:themeColor="text1"/>
          <w:sz w:val="28"/>
          <w:szCs w:val="28"/>
          <w:shd w:val="clear" w:color="auto" w:fill="FFFFFF"/>
        </w:rPr>
        <w:t xml:space="preserve">танцоров высокого уровня </w:t>
      </w:r>
      <w:r w:rsidRPr="00642056">
        <w:rPr>
          <w:color w:val="000000" w:themeColor="text1"/>
          <w:sz w:val="28"/>
          <w:szCs w:val="28"/>
          <w:shd w:val="clear" w:color="auto" w:fill="FFFFFF"/>
        </w:rPr>
        <w:t xml:space="preserve">является отсутствие </w:t>
      </w:r>
      <w:r w:rsidR="00666866">
        <w:rPr>
          <w:color w:val="000000" w:themeColor="text1"/>
          <w:sz w:val="28"/>
          <w:szCs w:val="28"/>
          <w:shd w:val="clear" w:color="auto" w:fill="FFFFFF"/>
        </w:rPr>
        <w:t>методического обеспечения</w:t>
      </w:r>
      <w:r w:rsidR="00A414CC">
        <w:rPr>
          <w:color w:val="000000" w:themeColor="text1"/>
          <w:sz w:val="28"/>
          <w:szCs w:val="28"/>
          <w:shd w:val="clear" w:color="auto" w:fill="FFFFFF"/>
        </w:rPr>
        <w:t xml:space="preserve"> при технической подготовке, которая является важнейшей составляющей танцевальных стилей.</w:t>
      </w:r>
    </w:p>
    <w:p w:rsidR="006B347D" w:rsidRPr="00642056" w:rsidRDefault="00A414CC" w:rsidP="00642056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Разработана и внедрена</w:t>
      </w:r>
      <w:r w:rsidR="006B347D" w:rsidRPr="0064205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методика технической подготовки танцоров 15-17 лет направления хип-хоп города Сургута</w:t>
      </w:r>
      <w:r w:rsidR="006B347D" w:rsidRPr="00642056">
        <w:rPr>
          <w:color w:val="000000" w:themeColor="text1"/>
          <w:sz w:val="28"/>
          <w:szCs w:val="28"/>
        </w:rPr>
        <w:t xml:space="preserve">. </w:t>
      </w:r>
    </w:p>
    <w:p w:rsidR="006B347D" w:rsidRPr="00642056" w:rsidRDefault="006B347D" w:rsidP="00642056">
      <w:pPr>
        <w:tabs>
          <w:tab w:val="left" w:pos="108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056">
        <w:rPr>
          <w:color w:val="000000" w:themeColor="text1"/>
          <w:sz w:val="28"/>
          <w:szCs w:val="28"/>
        </w:rPr>
        <w:t>3. Эффективность разработанн</w:t>
      </w:r>
      <w:r w:rsidR="00A414CC">
        <w:rPr>
          <w:color w:val="000000" w:themeColor="text1"/>
          <w:sz w:val="28"/>
          <w:szCs w:val="28"/>
        </w:rPr>
        <w:t>ой методики технической подготовки танцоров</w:t>
      </w:r>
      <w:r w:rsidRPr="00642056">
        <w:rPr>
          <w:color w:val="000000" w:themeColor="text1"/>
          <w:sz w:val="28"/>
          <w:szCs w:val="28"/>
        </w:rPr>
        <w:t xml:space="preserve"> </w:t>
      </w:r>
      <w:r w:rsidR="00A414CC">
        <w:rPr>
          <w:color w:val="000000" w:themeColor="text1"/>
          <w:sz w:val="28"/>
          <w:szCs w:val="28"/>
        </w:rPr>
        <w:t xml:space="preserve">15-17 лет </w:t>
      </w:r>
      <w:r w:rsidRPr="00642056">
        <w:rPr>
          <w:color w:val="000000" w:themeColor="text1"/>
          <w:sz w:val="28"/>
          <w:szCs w:val="28"/>
        </w:rPr>
        <w:t>доказана в ходе экспериментальной работы:</w:t>
      </w:r>
    </w:p>
    <w:p w:rsidR="006B347D" w:rsidRPr="00642056" w:rsidRDefault="006B347D" w:rsidP="00642056">
      <w:pPr>
        <w:suppressAutoHyphens w:val="0"/>
        <w:spacing w:line="360" w:lineRule="auto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642056">
        <w:rPr>
          <w:color w:val="000000" w:themeColor="text1"/>
          <w:sz w:val="28"/>
          <w:szCs w:val="28"/>
        </w:rPr>
        <w:t xml:space="preserve">- положительной динамикой результативности в микрозачете среди КГ и ЭГ.  </w:t>
      </w:r>
      <w:r w:rsidRPr="00642056">
        <w:rPr>
          <w:color w:val="000000" w:themeColor="text1"/>
          <w:sz w:val="28"/>
          <w:szCs w:val="28"/>
          <w:lang w:eastAsia="ru-RU"/>
        </w:rPr>
        <w:t xml:space="preserve">На начало эксперимента показатели по критерию «артистичность» в КГ и ЭГ достоверно не различались. После эксперимента, при выполнении 1-ой связки результаты ЭГ зафиксировали прирост на 16%, в КГ прирост составил </w:t>
      </w:r>
      <w:r w:rsidRPr="00642056">
        <w:rPr>
          <w:color w:val="000000" w:themeColor="text1"/>
          <w:sz w:val="28"/>
          <w:szCs w:val="28"/>
          <w:lang w:eastAsia="ru-RU"/>
        </w:rPr>
        <w:lastRenderedPageBreak/>
        <w:t>1,8%, при выполнении 2-ой связки прирост в ЭГ составил 16,2%, а в КГ 1,8%, при выполнении 3-ей связки в ЭГ прирост составил 13,4 %, а в КГ 2,4%.</w:t>
      </w:r>
    </w:p>
    <w:p w:rsidR="006B347D" w:rsidRPr="00642056" w:rsidRDefault="006B347D" w:rsidP="00642056">
      <w:pPr>
        <w:widowControl w:val="0"/>
        <w:spacing w:line="360" w:lineRule="auto"/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642056">
        <w:rPr>
          <w:color w:val="000000" w:themeColor="text1"/>
          <w:sz w:val="28"/>
          <w:szCs w:val="28"/>
        </w:rPr>
        <w:t>- положительной динамикой результативности соревновательной деятельности (прирост результата экспериментальной группы составил 11 %, при р&lt;</w:t>
      </w:r>
      <w:r w:rsidRPr="00642056">
        <w:rPr>
          <w:color w:val="000000" w:themeColor="text1"/>
          <w:spacing w:val="-20"/>
          <w:sz w:val="28"/>
          <w:szCs w:val="28"/>
        </w:rPr>
        <w:t>0,05);</w:t>
      </w:r>
    </w:p>
    <w:p w:rsidR="005129E4" w:rsidRPr="00642056" w:rsidRDefault="006B347D" w:rsidP="00642056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056">
        <w:rPr>
          <w:color w:val="000000" w:themeColor="text1"/>
          <w:sz w:val="28"/>
          <w:szCs w:val="28"/>
        </w:rPr>
        <w:t xml:space="preserve">Таким образом, мы можем утверждать, что предложенная нами разработка соединений аэробных движений с элементами современного танца  эффективна. </w:t>
      </w:r>
    </w:p>
    <w:p w:rsidR="00642056" w:rsidRDefault="00642056" w:rsidP="00642056">
      <w:pPr>
        <w:widowControl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6B347D" w:rsidRPr="00642056" w:rsidRDefault="005129E4" w:rsidP="00642056">
      <w:pPr>
        <w:widowControl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642056">
        <w:rPr>
          <w:b/>
          <w:color w:val="000000" w:themeColor="text1"/>
          <w:sz w:val="28"/>
          <w:szCs w:val="28"/>
          <w:lang w:eastAsia="ru-RU"/>
        </w:rPr>
        <w:t>Список литературы</w:t>
      </w:r>
    </w:p>
    <w:p w:rsidR="005129E4" w:rsidRPr="00642056" w:rsidRDefault="00900540" w:rsidP="00642056">
      <w:pPr>
        <w:pStyle w:val="a5"/>
        <w:tabs>
          <w:tab w:val="left" w:pos="12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56">
        <w:rPr>
          <w:rFonts w:ascii="Times New Roman" w:hAnsi="Times New Roman" w:cs="Times New Roman"/>
          <w:sz w:val="28"/>
          <w:szCs w:val="28"/>
        </w:rPr>
        <w:t>1</w:t>
      </w:r>
      <w:r w:rsidR="005129E4" w:rsidRPr="00642056">
        <w:rPr>
          <w:rFonts w:ascii="Times New Roman" w:hAnsi="Times New Roman" w:cs="Times New Roman"/>
          <w:sz w:val="28"/>
          <w:szCs w:val="28"/>
        </w:rPr>
        <w:t>. Журавин, М.Л. Гимнастика: учебник / М.Л. Журавин. – М: Академия: 2008. – 5-е изд. – 448 с.</w:t>
      </w:r>
    </w:p>
    <w:p w:rsidR="005129E4" w:rsidRPr="00642056" w:rsidRDefault="00900540" w:rsidP="0064205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56">
        <w:rPr>
          <w:rFonts w:ascii="Times New Roman" w:hAnsi="Times New Roman" w:cs="Times New Roman"/>
          <w:sz w:val="28"/>
          <w:szCs w:val="28"/>
        </w:rPr>
        <w:t xml:space="preserve">2. </w:t>
      </w:r>
      <w:r w:rsidR="005129E4" w:rsidRPr="00642056">
        <w:rPr>
          <w:rFonts w:ascii="Times New Roman" w:hAnsi="Times New Roman" w:cs="Times New Roman"/>
          <w:sz w:val="28"/>
          <w:szCs w:val="28"/>
        </w:rPr>
        <w:t>Касаткина, Н. А. Педагогико-психологические и медикобиологические проблемы физической культуры и спорта: журнал Камской государственной академии физической культуры, спорта и туризма / Н. А. Касаткина.  – 2012. – Том 7. - № 1. – 47-55 с.</w:t>
      </w:r>
    </w:p>
    <w:p w:rsidR="005129E4" w:rsidRPr="00642056" w:rsidRDefault="00900540" w:rsidP="0064205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056">
        <w:rPr>
          <w:rFonts w:ascii="Times New Roman" w:hAnsi="Times New Roman" w:cs="Times New Roman"/>
          <w:sz w:val="28"/>
          <w:szCs w:val="28"/>
        </w:rPr>
        <w:t>3</w:t>
      </w:r>
      <w:r w:rsidR="00A414CC">
        <w:rPr>
          <w:rFonts w:ascii="Times New Roman" w:hAnsi="Times New Roman" w:cs="Times New Roman"/>
          <w:sz w:val="28"/>
          <w:szCs w:val="28"/>
        </w:rPr>
        <w:t>. Манукян Г.А. «Хип-хоп» как культура</w:t>
      </w:r>
      <w:r w:rsidR="005129E4" w:rsidRPr="00642056">
        <w:rPr>
          <w:rFonts w:ascii="Times New Roman" w:hAnsi="Times New Roman" w:cs="Times New Roman"/>
          <w:sz w:val="28"/>
          <w:szCs w:val="28"/>
        </w:rPr>
        <w:t>. Классификация упражнений и основные компоненты подготовки высококвалифицированных</w:t>
      </w:r>
      <w:r w:rsidR="00A414CC">
        <w:rPr>
          <w:rFonts w:ascii="Times New Roman" w:hAnsi="Times New Roman" w:cs="Times New Roman"/>
          <w:sz w:val="28"/>
          <w:szCs w:val="28"/>
        </w:rPr>
        <w:t>танцоров</w:t>
      </w:r>
      <w:r w:rsidR="005129E4" w:rsidRPr="00642056">
        <w:rPr>
          <w:rFonts w:ascii="Times New Roman" w:hAnsi="Times New Roman" w:cs="Times New Roman"/>
          <w:sz w:val="28"/>
          <w:szCs w:val="28"/>
        </w:rPr>
        <w:t xml:space="preserve">: автореферат диссертация д.п.н. / </w:t>
      </w:r>
      <w:r w:rsidR="00A414CC">
        <w:rPr>
          <w:rFonts w:ascii="Times New Roman" w:hAnsi="Times New Roman" w:cs="Times New Roman"/>
          <w:sz w:val="28"/>
          <w:szCs w:val="28"/>
        </w:rPr>
        <w:t>Г.А. Манукян</w:t>
      </w:r>
      <w:r w:rsidR="005129E4" w:rsidRPr="00642056">
        <w:rPr>
          <w:rFonts w:ascii="Times New Roman" w:hAnsi="Times New Roman" w:cs="Times New Roman"/>
          <w:sz w:val="28"/>
          <w:szCs w:val="28"/>
        </w:rPr>
        <w:t xml:space="preserve">СПб; государственная академия физической </w:t>
      </w:r>
      <w:r w:rsidR="00A414CC">
        <w:rPr>
          <w:rFonts w:ascii="Times New Roman" w:hAnsi="Times New Roman" w:cs="Times New Roman"/>
          <w:sz w:val="28"/>
          <w:szCs w:val="28"/>
        </w:rPr>
        <w:t>культуры им. П.Ф. Лесгафта, 2019</w:t>
      </w:r>
      <w:bookmarkStart w:id="0" w:name="_GoBack"/>
      <w:bookmarkEnd w:id="0"/>
      <w:r w:rsidR="005129E4" w:rsidRPr="00642056">
        <w:rPr>
          <w:rFonts w:ascii="Times New Roman" w:hAnsi="Times New Roman" w:cs="Times New Roman"/>
          <w:sz w:val="28"/>
          <w:szCs w:val="28"/>
        </w:rPr>
        <w:t>. – 54 с.</w:t>
      </w:r>
    </w:p>
    <w:p w:rsidR="00900540" w:rsidRPr="00642056" w:rsidRDefault="00642056" w:rsidP="0064205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540" w:rsidRPr="00642056">
        <w:rPr>
          <w:rFonts w:ascii="Times New Roman" w:hAnsi="Times New Roman" w:cs="Times New Roman"/>
          <w:sz w:val="28"/>
          <w:szCs w:val="28"/>
        </w:rPr>
        <w:t>. Назаренко, Л. Д. Концепция формирования виртуозности движений в подготовке высококвалифицированных спортсменов / Л. Д. Назаренко, Н. А. Касаткина // Теория и практика физической культуры. – 2016. – № 6. – С. 72-75.</w:t>
      </w:r>
    </w:p>
    <w:p w:rsidR="005129E4" w:rsidRPr="00642056" w:rsidRDefault="005129E4" w:rsidP="00642056">
      <w:pPr>
        <w:pStyle w:val="a5"/>
        <w:tabs>
          <w:tab w:val="left" w:pos="12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9E4" w:rsidRPr="00642056" w:rsidRDefault="005129E4" w:rsidP="00642056">
      <w:pPr>
        <w:widowControl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B347D" w:rsidRPr="00642056" w:rsidRDefault="006B347D" w:rsidP="00642056">
      <w:pPr>
        <w:suppressAutoHyphens w:val="0"/>
        <w:spacing w:line="360" w:lineRule="auto"/>
        <w:ind w:firstLine="851"/>
        <w:jc w:val="both"/>
        <w:rPr>
          <w:color w:val="000000" w:themeColor="text1"/>
          <w:sz w:val="28"/>
          <w:szCs w:val="28"/>
          <w:lang w:eastAsia="ru-RU"/>
        </w:rPr>
      </w:pPr>
    </w:p>
    <w:p w:rsidR="006B347D" w:rsidRPr="000A2778" w:rsidRDefault="006B347D" w:rsidP="006B347D">
      <w:pPr>
        <w:suppressAutoHyphens w:val="0"/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6B347D" w:rsidRPr="00630BD1" w:rsidRDefault="006B347D" w:rsidP="00FC17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177F" w:rsidRPr="00FC177F" w:rsidRDefault="00FC177F" w:rsidP="002C32E3">
      <w:pPr>
        <w:spacing w:line="360" w:lineRule="auto"/>
        <w:jc w:val="both"/>
        <w:rPr>
          <w:sz w:val="28"/>
          <w:szCs w:val="28"/>
        </w:rPr>
      </w:pPr>
    </w:p>
    <w:sectPr w:rsidR="00FC177F" w:rsidRPr="00FC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4C" w:rsidRDefault="00142D4C" w:rsidP="00C80163">
      <w:r>
        <w:separator/>
      </w:r>
    </w:p>
  </w:endnote>
  <w:endnote w:type="continuationSeparator" w:id="0">
    <w:p w:rsidR="00142D4C" w:rsidRDefault="00142D4C" w:rsidP="00C8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4C" w:rsidRDefault="00142D4C" w:rsidP="00C80163">
      <w:r>
        <w:separator/>
      </w:r>
    </w:p>
  </w:footnote>
  <w:footnote w:type="continuationSeparator" w:id="0">
    <w:p w:rsidR="00142D4C" w:rsidRDefault="00142D4C" w:rsidP="00C8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D"/>
    <w:rsid w:val="000F77A0"/>
    <w:rsid w:val="00142D4C"/>
    <w:rsid w:val="002C32E3"/>
    <w:rsid w:val="002E34F4"/>
    <w:rsid w:val="00355E30"/>
    <w:rsid w:val="00392A08"/>
    <w:rsid w:val="003A2585"/>
    <w:rsid w:val="003C532B"/>
    <w:rsid w:val="003C5D3E"/>
    <w:rsid w:val="00453E67"/>
    <w:rsid w:val="004D4C7A"/>
    <w:rsid w:val="005129E4"/>
    <w:rsid w:val="00551CDA"/>
    <w:rsid w:val="00612D57"/>
    <w:rsid w:val="00642056"/>
    <w:rsid w:val="00666866"/>
    <w:rsid w:val="006B347D"/>
    <w:rsid w:val="007C253F"/>
    <w:rsid w:val="007D437D"/>
    <w:rsid w:val="007D5AD1"/>
    <w:rsid w:val="00900540"/>
    <w:rsid w:val="0095301F"/>
    <w:rsid w:val="0096334E"/>
    <w:rsid w:val="00A414CC"/>
    <w:rsid w:val="00AB5AE9"/>
    <w:rsid w:val="00AC253A"/>
    <w:rsid w:val="00AD76B0"/>
    <w:rsid w:val="00BE2D9D"/>
    <w:rsid w:val="00C80163"/>
    <w:rsid w:val="00DF3E6D"/>
    <w:rsid w:val="00EE3352"/>
    <w:rsid w:val="00F95CC8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4B361-387B-4EFA-9A2C-0FAEF6AD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3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C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532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801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1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C80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1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1"/>
    <w:qFormat/>
    <w:rsid w:val="00AB5AE9"/>
    <w:pPr>
      <w:widowControl w:val="0"/>
      <w:suppressAutoHyphens w:val="0"/>
      <w:autoSpaceDE w:val="0"/>
      <w:autoSpaceDN w:val="0"/>
      <w:ind w:left="220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B5A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680956547098402E-2"/>
          <c:y val="7.5833530842091004E-2"/>
          <c:w val="0.91385608048993805"/>
          <c:h val="0.7413355103187430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КГ</c:v>
                </c:pt>
              </c:strCache>
            </c:strRef>
          </c:tx>
          <c:spPr>
            <a:ln w="38092" cap="rnd" cmpd="sng" algn="ctr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3027767285546997E-2"/>
                  <c:y val="-6.4315675710814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3C0-45D6-8D58-3F03F51991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107684456109701E-2"/>
                  <c:y val="-3.1746031746031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3C0-45D6-8D58-3F03F51991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107684456109799E-2"/>
                  <c:y val="-4.3650793650793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3C0-45D6-8D58-3F03F51991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mmm/yy</c:formatCode>
                <c:ptCount val="2"/>
                <c:pt idx="0">
                  <c:v>43405</c:v>
                </c:pt>
                <c:pt idx="1">
                  <c:v>43586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7.2</c:v>
                </c:pt>
                <c:pt idx="1">
                  <c:v>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3C0-45D6-8D58-3F03F51991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ЭГ</c:v>
                </c:pt>
              </c:strCache>
            </c:strRef>
          </c:tx>
          <c:spPr>
            <a:ln w="38092" cap="rnd" cmpd="sng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107718085055399E-2"/>
                  <c:y val="-6.5384071573096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3C0-45D6-8D58-3F03F51991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422499270924499E-2"/>
                  <c:y val="-3.5714285714285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3C0-45D6-8D58-3F03F51991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107684456109799E-2"/>
                  <c:y val="-4.76190476190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3C0-45D6-8D58-3F03F51991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mmm/yy</c:formatCode>
                <c:ptCount val="2"/>
                <c:pt idx="0">
                  <c:v>43405</c:v>
                </c:pt>
                <c:pt idx="1">
                  <c:v>43586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6.9</c:v>
                </c:pt>
                <c:pt idx="1">
                  <c:v>7.9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53C0-45D6-8D58-3F03F51991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3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-1840787216"/>
        <c:axId val="-1840789392"/>
      </c:lineChart>
      <c:dateAx>
        <c:axId val="-1840787216"/>
        <c:scaling>
          <c:orientation val="minMax"/>
        </c:scaling>
        <c:delete val="0"/>
        <c:axPos val="b"/>
        <c:numFmt formatCode="mmm/yy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-1840789392"/>
        <c:crosses val="autoZero"/>
        <c:auto val="1"/>
        <c:lblOffset val="100"/>
        <c:baseTimeUnit val="months"/>
      </c:dateAx>
      <c:valAx>
        <c:axId val="-1840789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4078721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3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Читатель (НБ СурГУ)</cp:lastModifiedBy>
  <cp:revision>9</cp:revision>
  <dcterms:created xsi:type="dcterms:W3CDTF">2020-10-08T10:59:00Z</dcterms:created>
  <dcterms:modified xsi:type="dcterms:W3CDTF">2022-03-05T08:54:00Z</dcterms:modified>
</cp:coreProperties>
</file>