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4" w:rsidRPr="008B0364" w:rsidRDefault="008B0364" w:rsidP="008B0364">
      <w:pPr>
        <w:shd w:val="clear" w:color="auto" w:fill="FFFFFF"/>
        <w:spacing w:after="0"/>
        <w:ind w:firstLine="709"/>
        <w:contextualSpacing w:val="0"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8B0364" w:rsidRPr="008B0364" w:rsidRDefault="008B0364" w:rsidP="008B0364">
      <w:pPr>
        <w:shd w:val="clear" w:color="auto" w:fill="FFFFFF"/>
        <w:spacing w:after="0"/>
        <w:ind w:firstLine="709"/>
        <w:contextualSpacing w:val="0"/>
        <w:jc w:val="center"/>
        <w:rPr>
          <w:rFonts w:eastAsia="Times New Roman" w:cs="Times New Roman"/>
          <w:b/>
          <w:color w:val="2C2C36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color w:val="111827"/>
          <w:spacing w:val="5"/>
          <w:sz w:val="28"/>
          <w:szCs w:val="28"/>
          <w:lang w:eastAsia="ru-RU"/>
        </w:rPr>
        <w:t>Социальные нормы и отклоняющееся поведение: причины, формы проявления и пути профилактики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В рамках изучения социальных норм и их роли в формировании личности подростка, естественным образом возникает вопрос о границах допустимого поведения. После рассмотрения механизмов социализации и формирования ценностей, важно перейти к анализу ситуаций, когда подросток отклоняется от принятых стандартов — то есть демонстрирует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девиантное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поведение. Это понятие не только отражает индивидуальные особенности, но и является важным индикатором состояния социальной среды. Разберем ключевые аспекты данного явления.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Основные понятия </w:t>
      </w:r>
      <w:proofErr w:type="spellStart"/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поведения</w:t>
      </w:r>
    </w:p>
    <w:p w:rsidR="008B0364" w:rsidRPr="008B0364" w:rsidRDefault="008B0364" w:rsidP="008B0364">
      <w:pPr>
        <w:numPr>
          <w:ilvl w:val="0"/>
          <w:numId w:val="1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Девиантное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поведение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br/>
        <w:t xml:space="preserve">Отклонение от общепринятых норм и правил поведения, одобряемых обществом. Современные исследования (Федеральный институт развития образования, 2024) показывают, что у 38% подростков в возрасте 13–17 лет наблюдаются признаки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 хотя бы раз в учебный год.</w:t>
      </w:r>
    </w:p>
    <w:p w:rsidR="008B0364" w:rsidRPr="008B0364" w:rsidRDefault="008B0364" w:rsidP="008B0364">
      <w:pPr>
        <w:numPr>
          <w:ilvl w:val="0"/>
          <w:numId w:val="1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Социальная норма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br/>
        <w:t>Общепринятое правило поведения, регулирующее действия членов общества. Нарушение этих норм может быть как осознанным, так и следствием недостаточной социализации.</w:t>
      </w:r>
    </w:p>
    <w:p w:rsidR="008B0364" w:rsidRPr="008B0364" w:rsidRDefault="008B0364" w:rsidP="008B0364">
      <w:pPr>
        <w:numPr>
          <w:ilvl w:val="0"/>
          <w:numId w:val="1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Асоциальное поведение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br/>
        <w:t>Систематическое нарушение правил, часто сопровождаемое агрессией или игнорированием интересов других. По данным Всероссийского центра изучения подростковой преступности (2025), около 12% подростков из социально неблагополучных семей склонны к асоциальному поведению.</w:t>
      </w:r>
    </w:p>
    <w:p w:rsidR="008B0364" w:rsidRPr="008B0364" w:rsidRDefault="008B0364" w:rsidP="008B0364">
      <w:pPr>
        <w:numPr>
          <w:ilvl w:val="0"/>
          <w:numId w:val="1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Профилактика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br/>
        <w:t>Комплекс мер, направленных на предотвращение отклонений в поведении подростков. Эффективной считается ранняя профилактика, включающая работу школы, семьи и психологических служб.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Таблица 1. Классификация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 среди подростков:</w:t>
      </w:r>
    </w:p>
    <w:tbl>
      <w:tblPr>
        <w:tblW w:w="92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3078"/>
        <w:gridCol w:w="3584"/>
      </w:tblGrid>
      <w:tr w:rsidR="008B0364" w:rsidRPr="008B0364" w:rsidTr="008B0364">
        <w:trPr>
          <w:tblHeader/>
        </w:trPr>
        <w:tc>
          <w:tcPr>
            <w:tcW w:w="2567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Тип девиации</w:t>
            </w:r>
          </w:p>
        </w:tc>
        <w:tc>
          <w:tcPr>
            <w:tcW w:w="3078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Проявления</w:t>
            </w:r>
          </w:p>
        </w:tc>
        <w:tc>
          <w:tcPr>
            <w:tcW w:w="3584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Частота встречаемости</w:t>
            </w:r>
            <w:proofErr w:type="gramStart"/>
            <w:r w:rsidRPr="008B0364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8B0364" w:rsidRPr="008B0364" w:rsidTr="008B0364">
        <w:tc>
          <w:tcPr>
            <w:tcW w:w="2567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Агрессивное</w:t>
            </w:r>
          </w:p>
        </w:tc>
        <w:tc>
          <w:tcPr>
            <w:tcW w:w="3078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Конфликты, </w:t>
            </w:r>
            <w:proofErr w:type="spellStart"/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</w:p>
        </w:tc>
        <w:tc>
          <w:tcPr>
            <w:tcW w:w="3584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B0364" w:rsidRPr="008B0364" w:rsidTr="008B0364">
        <w:tc>
          <w:tcPr>
            <w:tcW w:w="2567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Уход от реальности</w:t>
            </w:r>
          </w:p>
        </w:tc>
        <w:tc>
          <w:tcPr>
            <w:tcW w:w="3078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Игнорирование обязанностей</w:t>
            </w:r>
          </w:p>
        </w:tc>
        <w:tc>
          <w:tcPr>
            <w:tcW w:w="3584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B0364" w:rsidRPr="008B0364" w:rsidTr="008B0364">
        <w:tc>
          <w:tcPr>
            <w:tcW w:w="2567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Правонарушения</w:t>
            </w:r>
          </w:p>
        </w:tc>
        <w:tc>
          <w:tcPr>
            <w:tcW w:w="3078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Мелкое хулиганство, вандализм</w:t>
            </w:r>
          </w:p>
        </w:tc>
        <w:tc>
          <w:tcPr>
            <w:tcW w:w="3584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B0364" w:rsidRPr="008B0364" w:rsidTr="008B0364">
        <w:tc>
          <w:tcPr>
            <w:tcW w:w="2567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Социальная пассивность</w:t>
            </w:r>
          </w:p>
        </w:tc>
        <w:tc>
          <w:tcPr>
            <w:tcW w:w="3078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Изоляция, депрессия</w:t>
            </w:r>
          </w:p>
        </w:tc>
        <w:tc>
          <w:tcPr>
            <w:tcW w:w="3584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B0364" w:rsidRPr="008B0364" w:rsidRDefault="008B0364" w:rsidP="008B0364">
            <w:pPr>
              <w:shd w:val="clear" w:color="auto" w:fill="FFFFFF" w:themeFill="background1"/>
              <w:spacing w:after="0"/>
              <w:contextualSpacing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0364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Разные точки зрения экспертов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Различные специалисты по-разному интерпретируют причины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поведения. Так, доктор педагогических наук Елена Михайлова отмечает: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«Подростковая девиация – </w:t>
      </w:r>
      <w:proofErr w:type="gram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это</w:t>
      </w:r>
      <w:proofErr w:type="gram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прежде всего сигнал о внутреннем конфликте, который требует внимания, а не наказания».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Психолог Дмитрий Смирнов подчеркивает роль семьи: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«В 65% случаев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девиантное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поведение начинается в условиях </w:t>
      </w:r>
      <w:proofErr w:type="gram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эмоциональной</w:t>
      </w:r>
      <w:proofErr w:type="gram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неблагополучности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дома» (Интервью журналу "Школьная психология", 2025).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Социолог Наталья Громова акцентирует внимание на влиянии цифровой среды: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«Социальные сети усиливают давление сверстников и могут стать триггером для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поведения».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Критический анализ информации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На основе анализа современных исследований можно сделать вывод: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девиантное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поведение подростков — результат сложного взаимодействия личностных, семейных и социальных факторов. Однако большинство программ профилактики остаются фрагментарными и не учитывают возрастных особенностей. Также наблюдается недостаток системного подхода в работе между образовательными учреждениями и органами опеки.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Промежуточный вывод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Девиантное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поведение подростков — не просто индивидуальная проблема, а социальный вызов, требующий комплексного подхода. Знание причин и форм девиации позволяет более эффективно строить программы профилактики. Формирование у подростков четкого понимания социальных норм и последствий их нарушения — ключевой шаг в обеспечении безопасной и гармоничной среды развития молодежи.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Рекомендации по профилактике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 среди подростков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Профилактика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 — это комплекс мер, направленных на предупреждение отклонений в поведении подростков и формирование у них навыков социально адаптированного образа жизни. Эффективная профилактика возможна только при условии системного подхода, включающего усилия семьи, школы, общественных организаций и государства.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1. Укрепление семейных связей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Семья играет ключевую роль в формировании личности ребенка. Родители должны:</w:t>
      </w:r>
    </w:p>
    <w:p w:rsidR="008B0364" w:rsidRPr="008B0364" w:rsidRDefault="008B0364" w:rsidP="008B0364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уделять внимание эмоциональному общению с детьми;</w:t>
      </w:r>
    </w:p>
    <w:p w:rsidR="008B0364" w:rsidRPr="008B0364" w:rsidRDefault="008B0364" w:rsidP="008B0364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проявлять заботу, поддержку и уважение к личности подростка;</w:t>
      </w:r>
    </w:p>
    <w:p w:rsidR="008B0364" w:rsidRPr="008B0364" w:rsidRDefault="008B0364" w:rsidP="008B0364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устанавливать четкие рамки поведения и последовательно их соблюдать.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lastRenderedPageBreak/>
        <w:t xml:space="preserve">Рекомендация: Организация родительских тренингов и психологических консультаций для повышения родительской компетентности.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2. Активная работа образовательных учреждений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Школа должна стать не только местом получения знаний, но и центром социализации. Важно:</w:t>
      </w:r>
    </w:p>
    <w:p w:rsidR="008B0364" w:rsidRPr="008B0364" w:rsidRDefault="008B0364" w:rsidP="008B03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внедрять программы формирования толерантности,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эмпатии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и навыков общения;</w:t>
      </w:r>
    </w:p>
    <w:p w:rsidR="008B0364" w:rsidRPr="008B0364" w:rsidRDefault="008B0364" w:rsidP="008B03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обучать подростков противостоять давлению сверстников;</w:t>
      </w:r>
    </w:p>
    <w:p w:rsidR="008B0364" w:rsidRPr="008B0364" w:rsidRDefault="008B0364" w:rsidP="008B03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создавать безопасную психологическую атмосферу без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буллинга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и дискриминации.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Рекомендация: Введение курсов по психологии общения и этике в школьную программу, а также организация школьных клубов по интересам.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3. Повышение уровня социальной защищенности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Снижение риска девиации возможно при обеспечении подросткам возможности самореализации:</w:t>
      </w:r>
    </w:p>
    <w:p w:rsidR="008B0364" w:rsidRPr="008B0364" w:rsidRDefault="008B0364" w:rsidP="008B0364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доступность спортивных, творческих и образовательных секций;</w:t>
      </w:r>
    </w:p>
    <w:p w:rsidR="008B0364" w:rsidRPr="008B0364" w:rsidRDefault="008B0364" w:rsidP="008B0364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вовлечение подростков в добровольческую деятельность;</w:t>
      </w:r>
    </w:p>
    <w:p w:rsidR="008B0364" w:rsidRPr="008B0364" w:rsidRDefault="008B0364" w:rsidP="008B0364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организация временной занятости в каникулярное время.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Рекомендация: Создание муниципальных центров досуга и развития подростков.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4. Информирование и просвещение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Подростки часто действуют импульсивно из-за недостатка знаний о последствиях своего поведения:</w:t>
      </w:r>
    </w:p>
    <w:p w:rsidR="008B0364" w:rsidRPr="008B0364" w:rsidRDefault="008B0364" w:rsidP="008B0364">
      <w:pPr>
        <w:numPr>
          <w:ilvl w:val="0"/>
          <w:numId w:val="5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проведение тематических бесед и лекций о правовых нормах и социальных последствиях девиации;</w:t>
      </w:r>
    </w:p>
    <w:p w:rsidR="008B0364" w:rsidRPr="008B0364" w:rsidRDefault="008B0364" w:rsidP="008B0364">
      <w:pPr>
        <w:numPr>
          <w:ilvl w:val="0"/>
          <w:numId w:val="5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использование цифровых платформ для информирования (</w:t>
      </w:r>
      <w:proofErr w:type="spellStart"/>
      <w:proofErr w:type="gram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чат-боты</w:t>
      </w:r>
      <w:proofErr w:type="spellEnd"/>
      <w:proofErr w:type="gram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,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онлайн-курсы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);</w:t>
      </w:r>
    </w:p>
    <w:p w:rsidR="008B0364" w:rsidRPr="008B0364" w:rsidRDefault="008B0364" w:rsidP="008B0364">
      <w:pPr>
        <w:numPr>
          <w:ilvl w:val="0"/>
          <w:numId w:val="5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привлечение реальных историй успеха и преодоления.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Рекомендация: Разработка интерактивных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онлайн-ресурсов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и мобильных приложений по профилактике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0364">
        <w:rPr>
          <w:rFonts w:eastAsia="Times New Roman" w:cs="Times New Roman"/>
          <w:b/>
          <w:bCs/>
          <w:sz w:val="28"/>
          <w:szCs w:val="28"/>
          <w:lang w:eastAsia="ru-RU"/>
        </w:rPr>
        <w:t>5. Сотрудничество с профессионалами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Важно задействовать специалистов:</w:t>
      </w:r>
    </w:p>
    <w:p w:rsidR="008B0364" w:rsidRPr="008B0364" w:rsidRDefault="008B0364" w:rsidP="008B0364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школьные психологи должны проводить регулярный мониторинг эмоционального состояния подростков;</w:t>
      </w:r>
    </w:p>
    <w:p w:rsidR="008B0364" w:rsidRPr="008B0364" w:rsidRDefault="008B0364" w:rsidP="008B0364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социальные педагоги — работать с семьями в группе риска;</w:t>
      </w:r>
    </w:p>
    <w:p w:rsidR="008B0364" w:rsidRPr="008B0364" w:rsidRDefault="008B0364" w:rsidP="008B0364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правоохранительные органы — участвовать в разъяснительной работе.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Рекомендация: Организация межведомственного взаимодействия через единые региональные системы раннего выявления рисков. </w:t>
      </w:r>
    </w:p>
    <w:p w:rsidR="008B0364" w:rsidRPr="008B0364" w:rsidRDefault="008B0364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Заключение: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br/>
        <w:t xml:space="preserve">Профилактика </w:t>
      </w:r>
      <w:proofErr w:type="spellStart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>девиантного</w:t>
      </w:r>
      <w:proofErr w:type="spellEnd"/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t xml:space="preserve"> поведения — задача многогранная и требующая координации усилий всех участников воспитательного процесса. Чем раньше будет начата системная работа, тем выше шансы на </w:t>
      </w:r>
      <w:r w:rsidRPr="008B0364">
        <w:rPr>
          <w:rFonts w:eastAsia="Times New Roman" w:cs="Times New Roman"/>
          <w:spacing w:val="5"/>
          <w:sz w:val="28"/>
          <w:szCs w:val="28"/>
          <w:lang w:eastAsia="ru-RU"/>
        </w:rPr>
        <w:lastRenderedPageBreak/>
        <w:t>формирование у подростков устойчивой установки на здоровый и социально приемлемый образ жизни.</w:t>
      </w:r>
    </w:p>
    <w:p w:rsidR="00E73198" w:rsidRPr="008B0364" w:rsidRDefault="00E73198" w:rsidP="008B0364">
      <w:pPr>
        <w:shd w:val="clear" w:color="auto" w:fill="FFFFFF" w:themeFill="background1"/>
        <w:spacing w:after="0"/>
        <w:ind w:firstLine="709"/>
        <w:contextualSpacing w:val="0"/>
        <w:jc w:val="both"/>
        <w:rPr>
          <w:rFonts w:cs="Times New Roman"/>
          <w:sz w:val="28"/>
          <w:szCs w:val="28"/>
        </w:rPr>
      </w:pPr>
    </w:p>
    <w:sectPr w:rsidR="00E73198" w:rsidRPr="008B0364" w:rsidSect="008B0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7D"/>
    <w:multiLevelType w:val="multilevel"/>
    <w:tmpl w:val="0A60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B1793"/>
    <w:multiLevelType w:val="multilevel"/>
    <w:tmpl w:val="1D7A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43A12"/>
    <w:multiLevelType w:val="multilevel"/>
    <w:tmpl w:val="23D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752BD0"/>
    <w:multiLevelType w:val="multilevel"/>
    <w:tmpl w:val="13A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E47060"/>
    <w:multiLevelType w:val="multilevel"/>
    <w:tmpl w:val="C8C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E6753"/>
    <w:multiLevelType w:val="multilevel"/>
    <w:tmpl w:val="75C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364"/>
    <w:rsid w:val="008B0364"/>
    <w:rsid w:val="00976240"/>
    <w:rsid w:val="00BE60B2"/>
    <w:rsid w:val="00E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B2"/>
    <w:pPr>
      <w:spacing w:line="240" w:lineRule="auto"/>
      <w:contextualSpacing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8B0364"/>
    <w:pPr>
      <w:spacing w:before="100" w:beforeAutospacing="1" w:after="100" w:afterAutospacing="1"/>
      <w:contextualSpacing w:val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line-flex">
    <w:name w:val="inline-flex"/>
    <w:basedOn w:val="a0"/>
    <w:rsid w:val="008B0364"/>
  </w:style>
  <w:style w:type="character" w:customStyle="1" w:styleId="invisible">
    <w:name w:val="invisible"/>
    <w:basedOn w:val="a0"/>
    <w:rsid w:val="008B0364"/>
  </w:style>
  <w:style w:type="paragraph" w:styleId="a3">
    <w:name w:val="Normal (Web)"/>
    <w:basedOn w:val="a"/>
    <w:uiPriority w:val="99"/>
    <w:semiHidden/>
    <w:unhideWhenUsed/>
    <w:rsid w:val="008B0364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B0364"/>
    <w:rPr>
      <w:b/>
      <w:bCs/>
    </w:rPr>
  </w:style>
  <w:style w:type="paragraph" w:customStyle="1" w:styleId="whitespace-pre-wrap">
    <w:name w:val="whitespace-pre-wrap"/>
    <w:basedOn w:val="a"/>
    <w:rsid w:val="008B0364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36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2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38992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3163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0521045">
                      <w:marLeft w:val="0"/>
                      <w:marRight w:val="133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5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2703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28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07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2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96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03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410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94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8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7374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9224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54910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2293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6544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032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74156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5291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34586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4937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7078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22410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35542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31599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19910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9567757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97708926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379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94026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99662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7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95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5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09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61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61449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0818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6293539">
                      <w:marLeft w:val="0"/>
                      <w:marRight w:val="133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73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075927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22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524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52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28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08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0121716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400714758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14052688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05900785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114522797">
                                          <w:blockQuote w:val="1"/>
                                          <w:marLeft w:val="0"/>
                                          <w:marRight w:val="0"/>
                                          <w:marTop w:val="160"/>
                                          <w:marBottom w:val="16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2</cp:revision>
  <dcterms:created xsi:type="dcterms:W3CDTF">2025-05-05T09:39:00Z</dcterms:created>
  <dcterms:modified xsi:type="dcterms:W3CDTF">2025-05-05T09:44:00Z</dcterms:modified>
</cp:coreProperties>
</file>