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AD" w:rsidRPr="00283FAD" w:rsidRDefault="00283FAD" w:rsidP="00283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color w:val="0E0F0F"/>
          <w:sz w:val="24"/>
          <w:szCs w:val="24"/>
          <w:lang w:eastAsia="ru-RU"/>
        </w:rPr>
        <w:t>КУЛЬТУРА БУРЯТИИ</w:t>
      </w:r>
    </w:p>
    <w:p w:rsidR="00283FAD" w:rsidRPr="00283FAD" w:rsidRDefault="00283FAD" w:rsidP="00283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</w:p>
    <w:p w:rsidR="00283FAD" w:rsidRPr="00283FAD" w:rsidRDefault="00283FAD" w:rsidP="00283FAD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4428000" cy="2952000"/>
            <wp:effectExtent l="0" t="0" r="0" b="1270"/>
            <wp:docPr id="18" name="Рисунок 18" descr="https://xn--100-9cd9a9bog3ic.xn--p1ai/upload/resize_cache/iblock/a62/300_300_1/adkl3urrl7sz0zo7r3e23rpa346nwo3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100-9cd9a9bog3ic.xn--p1ai/upload/resize_cache/iblock/a62/300_300_1/adkl3urrl7sz0zo7r3e23rpa346nwo3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7" name="Рисунок 17" descr="https://xn--100-9cd9a9bog3ic.xn--p1ai/upload/resize_cache/iblock/6b1/300_300_1/7roz6cymkzncfwynwecmx3sk9ne8lwex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100-9cd9a9bog3ic.xn--p1ai/upload/resize_cache/iblock/6b1/300_300_1/7roz6cymkzncfwynwecmx3sk9ne8lwex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6" name="Рисунок 16" descr="https://xn--100-9cd9a9bog3ic.xn--p1ai/upload/resize_cache/iblock/abd/300_300_1/9nvpqulf1icns8lma13t8fakhb0prmr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100-9cd9a9bog3ic.xn--p1ai/upload/resize_cache/iblock/abd/300_300_1/9nvpqulf1icns8lma13t8fakhb0prmr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5" name="Рисунок 15" descr="https://xn--100-9cd9a9bog3ic.xn--p1ai/upload/resize_cache/iblock/0b4/300_300_1/mcifhnw48fca1s9qrshsif3zjtnvmp3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100-9cd9a9bog3ic.xn--p1ai/upload/resize_cache/iblock/0b4/300_300_1/mcifhnw48fca1s9qrshsif3zjtnvmp3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4" name="Рисунок 14" descr="https://xn--100-9cd9a9bog3ic.xn--p1ai/upload/resize_cache/iblock/33f/300_300_1/qtous1fmmggva9zftfjy1jlwsx3nk6o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100-9cd9a9bog3ic.xn--p1ai/upload/resize_cache/iblock/33f/300_300_1/qtous1fmmggva9zftfjy1jlwsx3nk6o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3" name="Рисунок 13" descr="https://xn--100-9cd9a9bog3ic.xn--p1ai/upload/resize_cache/iblock/066/300_300_1/y3tdbjvr22phfg5qwptp7zw3z565dec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100-9cd9a9bog3ic.xn--p1ai/upload/resize_cache/iblock/066/300_300_1/y3tdbjvr22phfg5qwptp7zw3z565dec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2" name="Рисунок 12" descr="https://xn--100-9cd9a9bog3ic.xn--p1ai/upload/resize_cache/iblock/e72/300_300_1/01z8mfz710ftt4w1gekg4mmmwislsg9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100-9cd9a9bog3ic.xn--p1ai/upload/resize_cache/iblock/e72/300_300_1/01z8mfz710ftt4w1gekg4mmmwislsg9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lastRenderedPageBreak/>
        <w:drawing>
          <wp:inline distT="0" distB="0" distL="0" distR="0">
            <wp:extent cx="2857500" cy="1905000"/>
            <wp:effectExtent l="0" t="0" r="0" b="0"/>
            <wp:docPr id="11" name="Рисунок 11" descr="https://xn--100-9cd9a9bog3ic.xn--p1ai/upload/resize_cache/iblock/bb4/300_300_1/kocwcrfk2gqvm2j8tmwlg3prbhehcmqt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100-9cd9a9bog3ic.xn--p1ai/upload/resize_cache/iblock/bb4/300_300_1/kocwcrfk2gqvm2j8tmwlg3prbhehcmqt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0" name="Рисунок 10" descr="https://xn--100-9cd9a9bog3ic.xn--p1ai/upload/resize_cache/iblock/6ba/300_300_1/rs05hzjw7mlarx3efvhppm28a8szynnj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100-9cd9a9bog3ic.xn--p1ai/upload/resize_cache/iblock/6ba/300_300_1/rs05hzjw7mlarx3efvhppm28a8szynnj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9" name="Рисунок 9" descr="https://xn--100-9cd9a9bog3ic.xn--p1ai/upload/resize_cache/iblock/62a/300_300_1/28nyxzvlj5n45u19g34a50l3rujqsqh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100-9cd9a9bog3ic.xn--p1ai/upload/resize_cache/iblock/62a/300_300_1/28nyxzvlj5n45u19g34a50l3rujqsqh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8" name="Рисунок 8" descr="https://xn--100-9cd9a9bog3ic.xn--p1ai/upload/resize_cache/iblock/4bc/300_300_1/kjitev97ckmnkim6rfwnc0dl3mcob2fb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100-9cd9a9bog3ic.xn--p1ai/upload/resize_cache/iblock/4bc/300_300_1/kjitev97ckmnkim6rfwnc0dl3mcob2fb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7" name="Рисунок 7" descr="https://xn--100-9cd9a9bog3ic.xn--p1ai/upload/resize_cache/iblock/609/300_300_1/vwyzacl584j223ji9ogrih95hzlqhvi5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100-9cd9a9bog3ic.xn--p1ai/upload/resize_cache/iblock/609/300_300_1/vwyzacl584j223ji9ogrih95hzlqhvi5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6" name="Рисунок 6" descr="https://xn--100-9cd9a9bog3ic.xn--p1ai/upload/resize_cache/iblock/38a/300_300_1/dbx2xyqxlmwqc8z1lv4cnldjbgakh6g6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100-9cd9a9bog3ic.xn--p1ai/upload/resize_cache/iblock/38a/300_300_1/dbx2xyqxlmwqc8z1lv4cnldjbgakh6g6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5" name="Рисунок 5" descr="https://xn--100-9cd9a9bog3ic.xn--p1ai/upload/resize_cache/iblock/b57/300_300_1/592hv8sfynf3aceakg2jo6a063ha11pi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100-9cd9a9bog3ic.xn--p1ai/upload/resize_cache/iblock/b57/300_300_1/592hv8sfynf3aceakg2jo6a063ha11pi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4" name="Рисунок 4" descr="https://xn--100-9cd9a9bog3ic.xn--p1ai/upload/resize_cache/iblock/f0e/300_300_1/ebchz0fputurhxeu3mw0mckbj5pg1pj8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100-9cd9a9bog3ic.xn--p1ai/upload/resize_cache/iblock/f0e/300_300_1/ebchz0fputurhxeu3mw0mckbj5pg1pj8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lastRenderedPageBreak/>
        <w:drawing>
          <wp:inline distT="0" distB="0" distL="0" distR="0">
            <wp:extent cx="2857500" cy="1905000"/>
            <wp:effectExtent l="0" t="0" r="0" b="0"/>
            <wp:docPr id="3" name="Рисунок 3" descr="https://xn--100-9cd9a9bog3ic.xn--p1ai/upload/resize_cache/iblock/c93/300_300_1/gvvo1qz2ginfpqr8muqc6rnvlx5upu5k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100-9cd9a9bog3ic.xn--p1ai/upload/resize_cache/iblock/c93/300_300_1/gvvo1qz2ginfpqr8muqc6rnvlx5upu5k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2" name="Рисунок 2" descr="https://xn--100-9cd9a9bog3ic.xn--p1ai/upload/resize_cache/iblock/704/300_300_1/zj61nl8m3at5p2svpz81qd1qm8r3jj81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100-9cd9a9bog3ic.xn--p1ai/upload/resize_cache/iblock/704/300_300_1/zj61nl8m3at5p2svpz81qd1qm8r3jj81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AD">
        <w:rPr>
          <w:rFonts w:ascii="Times New Roman" w:eastAsia="Times New Roman" w:hAnsi="Times New Roman" w:cs="Times New Roman"/>
          <w:noProof/>
          <w:color w:val="0E0F0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https://xn--100-9cd9a9bog3ic.xn--p1ai/upload/resize_cache/iblock/fa3/300_300_1/lxu280ef5p0jjflrryqi2o70hwfwfy0g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100-9cd9a9bog3ic.xn--p1ai/upload/resize_cache/iblock/fa3/300_300_1/lxu280ef5p0jjflrryqi2o70hwfwfy0g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Культура Бурятии представляет собой соединение культур народов Азии и Европы, формирование которой шло параллельно с развитием устоев общественной жизни в Забайкалье. Свой вклад в эту культуру внесли многие племена и народы, на протяжении тысячелетий сменявшие друг друга на этой территории. 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Одним из интереснейших пластов культуры Бурятии является культура его коренного народа – бурят. Огромный пласт культуры принадлежит буддизму и буддийской традиции, принесенной в Бурятию из Тибета и Монголии. К этому пласту относится буддийское учение, включающее философию, тибетскую медицину, астрологию, буддийскую живопись. На этой основе в Бурятии развивались письменность и книгопечатание. Большой вклад в развитие связей Бурятии с Тибетом внес русский художник Николай Рерих.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Культура русских в Бурятии сохранила свои традиционные черты благодаря, прежде всего, одной из наиболее ярких групп представителей русского населения –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семейским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(старообрядцам). Самобытностью отличается искусство Забайкальских казаков.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Современный пласт культуры, получивший развитие в результате создания в Бурятии институтов, деятельность которых была направлена на приобщение народа к 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lastRenderedPageBreak/>
        <w:t>европейской культуре, представлен видами культуры, в которых использованы сюжеты, как прошлого, так и настоящего Бурятии. Это литература, опера и балет, искусство драмы, искусство кино, музыкальное искусство, скульптура и живопись, эстрада, цирк, фольклор.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Национальное искусство других народов, проживающих в Бурятии, представлено фольклорными ансамблями выходцев из Кореи, Китая, Армении, Азербайджана, Польши, Германии, Украины. В Бурятии работают национальные культурные центры и общественные объединения.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Наиболее интересные образцы материальной культуры хранятся в фондах и выставочных залах музеев, образцы классического и современного искусства представлены в деятельности театров, дворцов и клубов, в деятельности Бурятской государственной филармонии.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Культура Бурятии находится в непрерывном развитии, она обогащается новыми достижениями, в ней появляются новые направления и виды, но при этом она сохраняет наследие прошлых эпох. Мифы и легенды Бурятии.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ГЛАВНЫЕ ПРАЗДНИКИ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Сурхарбан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– праздник-обряд по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читания Земли – проходил ле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том и считался вторым по зна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чению праздником года у бурят. Ритуальная часть праздника обыч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но проходила на горе, где дела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лись жертвоприношения хозяе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вам, – духам местности возле обо. После молебна в степи наступал черед игрищам и состязаниям. Они включали в себя стрель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бу из лука, бурятскую борьбу и скачки. Это был истинно на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родный праздник, собиравший толпы людей со всей округи. 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В давние времена мишени для стрельбы из лука делали из кожа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ного ремня – «сур», а соревнова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ние по стрельбе «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сурхарбан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» стало названием всего праздника. И не случайно. Лук и стрелы исстари висели в юрте на почетном месте, никому нельзя было переступать через них. Стрела играла важную роль в обрядах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призывания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плодо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родия, счастья, была талисманом- оберегом. 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lastRenderedPageBreak/>
        <w:t>Участники скачек сорев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новались на дистанции три-четыре километра. Хозяин беговой лошади выхаживал ее за месяц до скачек. После скачек произносилась хвала коню, пришедшему первым.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Главным же торжеством в году считается, как и встарь,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Сагаалган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– приход Белого Месяца. Он про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водится по лунному календарю первого числа первого весеннего месяца, чаще в феврале, с 1990 г. стал официальным праздничным днем в Бурятии. Культовая сторо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на праздника происходит в даца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нах. 30 числа последнего зимнего месяца совершается обряд «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Дуг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жуба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» со сжиганием «Сора», что символизирует уничтожение всего негативного с уходящим годом и приход благополучия в наступаю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щем году. В течение ночи и вплоть до рассвета первого дня нового года в дацанах читаются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магтаалы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(хвалебны) защитнице Учения – богине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Балдан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Лхамо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. Затем, когда Новый год вступает в права, в тече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ние 15 дней читаются молитвы, по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священные чудесам Будды.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В народно-бытовом плане подго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товка к встрече Нового начинается задолго до его наступления – с при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готовления национальных блюд, наведения порядка и чистоты в доме, приобретения обнов и мно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гочисленных подарков для всех родственников и друзей. В первый день нового года дети, если живут отдельно, обязательно приходят с поздравлениями и подарками к родителям или старшим рода. Проявление уважения к старшим является одним из главных значе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ний праздника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Сагаалган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Конечно же, он начинается с под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ношения белого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хадака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и белой пищи – молока, творога, засушен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ных пенок, рисовой каши. «Еще за месяц до праздника, даже раньше, начинаются приготовления к нему: толкуют о веселии, ожидающем всех, шьют обновы, запасаются винами, приготовляют подарки и прочее; но особенно замечатель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но употребление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хадаков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», – писал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Доржи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Банзаров в 1846 году.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Хадак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подносится так: младший подходит с ним к старшему, держа на ладонях вытянутых рук, и кла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дет на кисть руки, старший пере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кладывает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хадак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на правую руку младшего и соединяет с ним руки от локтей до кистей.</w:t>
      </w:r>
    </w:p>
    <w:p w:rsid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</w:pPr>
    </w:p>
    <w:p w:rsid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</w:pP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lastRenderedPageBreak/>
        <w:t>МУЗЫКА БУРЯТИИ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Бурятская музыка представлена как исполнителями из Российской Федерации (Республика Бурятия, Агинский и Усть-Ордынский Бурятские округи), так и исполнителями бурятского происхождения из Монголии и Китая.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Народное музыкальное творчество бурят представлено многочисленными жанрами: эпическими сказаниями (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улигер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), лирическими обрядовыми, танцевальными песнями (особенно популярен танец-хоровод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ёхор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) и другими жанрами. Ладовая основа —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ангемитонная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пентатоника. В песенном творчестве прибайкальских бурят (Иркутская область) преобладает неполная пентатоника, состоящая из 3 и 4 звуков.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Для восточных бурятских песен характерны широкий диапазон, распевность, широкие интервальные ходы, полный 5-ступенный звукоряд. В западных бурятских песнях (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сэгээ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зугаа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) преобладают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узкообъёмные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лады (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ангемитоника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),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вариантно-попевочное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строение, их отличают прихотливость ритмики, обилие орнаментики. Песни: обрядовые, исторические, лирические, хвалебные и т.д.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Народная традиция пения восточных бурят почти не знает динамических оттенков. Обычно поют песни «во весь голос», на широком дыхании, сильным открытым звуком. Эта особенность, по-видимому, объясняется тем, что испокон веков бурятское вокальное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музицирование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происходило на открытом воздухе в степи.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Такая протяжная песня — продукт скотоводческого пастушьего племени. Создатели протяжной песни — пастухи, пасущие стада в степи.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Первые записи бурятских народных песен были собраны и опубликованы И. Г.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Гмелиным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(1852 год), затем И. С.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Стальбрассом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и К.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Штумпфом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(1887 год), А. Д. </w:t>
      </w:r>
      <w:proofErr w:type="gram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Рудневым(</w:t>
      </w:r>
      <w:proofErr w:type="gram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1909 год).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Среди народных инструментов можно отметить такие инструменты как: духовые —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лимбэ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(тип флейты</w:t>
      </w:r>
      <w:proofErr w:type="gram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),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бэшхүүр</w:t>
      </w:r>
      <w:proofErr w:type="spellEnd"/>
      <w:proofErr w:type="gram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бишхур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) (язычковый),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аман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хуур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(варган), струнные —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морин-хуур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и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хучир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(смычковый),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чанза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шанза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) и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ятага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(щипковые), а также многочисленные ударные инструменты.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lastRenderedPageBreak/>
        <w:t xml:space="preserve">В шаманском и буддийском культах применялись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хэнгэрэг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, сан,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дамаари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дынчик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(ударные),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үхэр-бүрээ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ганлин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бэшхүүр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(духовые) и другие инструменты.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Лупсунцырен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и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Ацержаб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Жамбаловы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— известные мастера изготовители музыкальных инструментов.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ЛИТЕРАТУРА БУРЯТИИ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Буряты располагают важным письменным наследием. Это в первую очередь бурятские летописи, включающие историю и предания бурят. Буряты — единственный народ Сибири, обладающий собственными историческими письменными памятниками.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Традиционная литература бурят включала ряд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полубуддийских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полушаманских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произведений, заключающих в себе истории знаменитых шаманов и правила почитания шаманских божеств.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Основная масса литературы бурят состояла из переводных произведений буддийской традиции. Это были в первую очередь переводы с тибетского на монгольский буддийских священных книг, трактатов по философии, медицине и т. д. и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Данджур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— энциклопедия более чем в 200 томов. Главными очагами литературной деятельности являлись монастыри-дацаны, при которых состояли ученые-переводчики. Многие из дацанов были оборудованы библиотеками и типографиями, где книги печатались ксилографическим способом.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Первой театральной пьесой на бурятском языке считается пьеса «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Ухыл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» (Смерть), написанная в 1908 году в Иркутске семинаристом Д. А. Абашеевым. До революции 1917 года появляются пьесы авторов: И. В.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Барлукова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, Г. В.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Базарона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, С. П.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Балдаева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. Всего до октябрьской революции 1917 года буряты имели 5 или 6 рукописных пьес. Некоторые из них ставились нелегально. Основные темы ранних пьес: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ноёнат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, шаманизм, ламаизм.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После революции началось формирование бурятского литературного языка на основе латиницы, а затем кириллицы и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хоринского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диалекта. Это означало разрыв с предыдущей литературной традицией. При этом шло освоение европейских литературных форм и массового светского образования на русском и на бурятском языках.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lastRenderedPageBreak/>
        <w:t xml:space="preserve">В 1922 году был издан первый сборник стихов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Солбонэ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Туя (П. Н. Дамбинова) «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Цветостепь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». Первые бурятские повести написал Ц. Дон (Ц. Д.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Дондубон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): «Луна в затмении» (1932 год), «Отравление от брынзы» (1935 год).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Первый литературный альманах на бурятском языке Уран-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Угун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-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Чимек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вышел в феврале 1927 года.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В конце 1930-х бурятские писатели начинают писать книги для детей и литературно обрабатывать народные сказки. Это в первую очередь литературные сказки Б. Д.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Абидуева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: «Сказка о козленке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Бабане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», «Оседлавший тигра», «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Шалай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и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Шанай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», «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Котий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Батор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», «Летучая мышь», «Храбрый козленок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Бабана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». Вслед за ним начинают выходить сказки А. И.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Шадаева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и др.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В 1949 году в Улан-Удэ публикуется первый бурятский роман «Степь проснулась» Ж. Т.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Тумунова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. За ним последовали романы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X.Намсараева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«На утренней заре» (1950 год</w:t>
      </w:r>
      <w:proofErr w:type="gram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),Ч.</w:t>
      </w:r>
      <w:proofErr w:type="gram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Цыдендамбаева «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Доржи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, сын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Банзара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» (1952 год), «Вдали от родных степей» (1956 год). Ж. Т.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Тумунов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в 1954 году написал свой второй роман «Золотой дождь».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МУЗЕИ БУРЯТИИ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В Бурятии действуют: 5 государственных, 19 муниципальных, более ста поселенческих и школьных музеев.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Музей истории города Улан- Удэ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 был создан в 1990 году, а в 2001-м музей обосновался в памятнике архитектуры и гра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достроительства, доме купца, потомственного почетного граж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данина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И.Ф.Голдобина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в истори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ческой части города по адресу ул. Ленина, 26. Семья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Голдобиных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попечительствовала учебным заведениям и приходским шко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лам, вкладывала немало средств на содержание приюта для аре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стантских детей. В 1891 году дом был определен для приема цесаревича Николая, когда он присутствовал на празднова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нии 40-летия Забайкальско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го казачьего войска. 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В музее демонстрируются экспозиции, связанные с историей Улан-Удэ: «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Верхнеудинская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ярмарка», «Се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мейный быт и архитектура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Верх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неудинска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», «Ностальгия», где представлены предметы старины XX столетия; экспозиция, посвя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щенная выдающейся личности XII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Пандито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Хамбо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Ламе Даша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Доржи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Итигэлову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. Есть и творче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ская мастерская 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lastRenderedPageBreak/>
        <w:t xml:space="preserve">для взрослых и детей. А помогает представить город и горожан XVII–XX веков выставка «Городские были» в вольном изложении художника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С.С.Емельянова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.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Национальный музей Республики Бурятия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 – хранилище культурных, исторических сокровищ народов Бурятии. Музей состоит из двух крупнейших музеев Бурятии: музея истории Бурятии им.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М.Н.Хангалова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и Республиканского художествен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ного музея им.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Ц.С.Сампилова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.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Музей истории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 – один из крупней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ших музеев Сибири (основан в 1923 г.). Предки народов Бурятии оста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вили бесценную память материаль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ной культуры региона, древних ци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вилизаций гуннов,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тюркоязычных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и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монголоязычных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степных кочев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ников – свидетельства далекого и недавнего прошлого, неразрывной связи времен и народов.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В коллекциях музея уникальные со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суды из Иволгинского гуннского го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родища, украшения из драгоценных и полудрагоценных камней, прекрас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ные изделия мастеров древнего края, множество археологических находок. Музей располагает предметами обла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чения и атрибутики шаманского куль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та. Здесь хранятся раритеты культуры Центральной Азии – «Атлас тибетской медицины», буддийские канониче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ские трактаты, коллекция буддий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ской литературы с философскими и ритуальными сочинениями по этике и морали, медицине, поэтическими сочинениями индийских, тибетских, монгольских и бурятских авторов. Уникальный экспонат, гордость музея – «Острожная Библия» (1580 г.), из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данная первопечатником Иваном Фе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доровым. В этнографической коллек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ции музея коралловые, бирюзовые, нефритовые женские украшения, се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ребряные мужские украшения.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Коллекционная выставка «Буддий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ское искусство» – «золотой фонд» музея, здесь представлены скуль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птура и живопись мастеров Буря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тии, Китая, Индии, Тибета, Японии; коллекция буддистской деревян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ной скульптуры художника и мона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ха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Санжи-Цыбик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Цыбикова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.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Коллекции </w:t>
      </w: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Художественного музея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 – это живопись, графика, скульптура, декоративно-прикладное и юве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лирное искусство. Постоянные экспозиции: «Русское искусство XVIII–XX вв.», «Бурятское изобразительное искусство 20–50-х гг.», «Декоративно-прикладное искусство Бурятии» (резьба из дерева, кости, тары и гобелены), «Душа народа в ликующей песне серебра» (уникальные серебряные изделия бурятских масте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ров прошлого XX века), «Лики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Гэсэриады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» (работы художников Бурятии, 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lastRenderedPageBreak/>
        <w:t>посвященные бурятскому эпосу «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Гэсэр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»). Бесспорно, яркое впечатление произво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дит изобразительное искусство Бурятии. Это работы Даши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Намдакова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Жамсо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Раднаева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, Аллы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Цыбиковой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,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Зорикто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Доржиева.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Художники не столько реконструируют картину ко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чевого мира, сколько, реально переживая ее, во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площают на холстах мироздание кочевой цивили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зации. Современная экспозиция музея открывается декоративно-прикладным искусством Бурятии. Мно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гие их виды давно уже стали национальным брендом.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Музей природы Бурятии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 – не толь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ко хранилище культурных ценно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стей, естественнонаучных коллек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ций, но и центр экологического воспитания.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Экспозиция размещена в пяти за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лах: выставочном, естественной истории, геологии и полезных ис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копаемых, ландшафтов Бурятии.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В экспозициях представлены остан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ки шерстистого носорога, бизона, мамонта, подтверждающие теорию эволюции жизни на Земле; показа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ны самые интересные из полезных ископаемых республики, которую геологи называют «Древнее темя Азии» (особо выделены поделоч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ные камни-самоцветы, нефрит раз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ных оттенков); показана Красная книга Бурятии (среди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краснокниж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ных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видов дрофа – самая крупная птица России); показаны ландшаф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ты высотной поясности, природные охраняемые территории.</w:t>
      </w:r>
    </w:p>
    <w:p w:rsidR="00283FAD" w:rsidRPr="00283FAD" w:rsidRDefault="00283FAD" w:rsidP="00283FAD">
      <w:pPr>
        <w:shd w:val="clear" w:color="auto" w:fill="FFFFFF"/>
        <w:spacing w:after="36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Особое место в экспозиции отведе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но озеру Байкал. Форма котловины, рельеф дна хорошо видны на макете озера; показаны и байкальские эн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демики: нерпа – единственное мле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копитающее озера, голомянка – глу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боководная, живородящая и самая многочисленная рыбка Байкала.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На древней земле Бурятии века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ми и тысячелетиями сменяли друг друга племена и народы, и все они оставили после себя множе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ство памятников – жилища и за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хоронения, городища и крепости, оборонительные валы и культо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вые сооружения, предметы быта, ремесел, боевого и охотничье- промыслового снаряжения. Наи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более выразительная часть этих памятников собрана в уникальном музее под открытым небом – </w:t>
      </w: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Эт</w:t>
      </w: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softHyphen/>
        <w:t>нографическим музее народов За</w:t>
      </w: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softHyphen/>
        <w:t>байкалья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. Расположен он на при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роде, в живописной пади Верхняя Березовка, и состоит из нескольких зон-комплексов, хронологиче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ски и этнографически сменяющих друг друга. Это археологический комплекс (древние племена), ком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плекс 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lastRenderedPageBreak/>
        <w:t xml:space="preserve">эвенкийский, бурятский забайкальский и бурятский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пред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байкальский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(тут есть и бытовые, и хозяйственные, и религиозные различия), русский старожиль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ческий и старообрядческий (по- местному – «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семейский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», тут тоже различия и бытовые, и хозяйствен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ные, и религиозные), промыслово- ремесленный, городской (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Верхнеу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динск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), зона живой </w:t>
      </w:r>
      <w:proofErr w:type="spellStart"/>
      <w:proofErr w:type="gram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природы.</w:t>
      </w: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ТЕАТРЫ</w:t>
      </w:r>
      <w:proofErr w:type="spellEnd"/>
      <w:proofErr w:type="gramEnd"/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 xml:space="preserve"> БУРЯТИИ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Бурятский государственный ака</w:t>
      </w: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softHyphen/>
        <w:t>демический театр оперы и бале</w:t>
      </w: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softHyphen/>
        <w:t xml:space="preserve">та им. </w:t>
      </w:r>
      <w:proofErr w:type="spellStart"/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Г.Цыдынжапова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 (архитектор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А.Н.Федоров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) проектировался в 30-е годы как Дворец социалистической культуры; построен он в 1952 году. Здание признано памятником ар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хитектуры. Стиль – сталинский ам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пир с национальными декоратив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ными элементами. В оформлении использовались отдельные эле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менты архитектуры дацанов: лю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стры, бра, цветные витражи, пла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фон, горельеф внутри и снаружи, национальный орнамент, башен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ки. Над центральным порталом театра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устанвлена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художественая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композиция: всадники со знаменем на вздыбленных конях. Эта работа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А.И.Тимина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, автора многих скульптур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ных композиций на улицах города.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Государственный русский драма</w:t>
      </w: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softHyphen/>
        <w:t xml:space="preserve">тический театр им. </w:t>
      </w:r>
      <w:proofErr w:type="spellStart"/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Н.А.Бестужева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 – первый профессиональный театр в Бурятии. Театр неоднократно менял свой адрес, но, наконец, обрел посто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янное место жительства. В 2007 году началось строительство нового зда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ния театра, а в 2009 он уже принимал первых зрителей. Театр ставит пьесы советской, русской классической дра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матургии, мировой классики.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Республиканский театр кукол «</w:t>
      </w:r>
      <w:proofErr w:type="spellStart"/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Ульгэр</w:t>
      </w:r>
      <w:proofErr w:type="spellEnd"/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»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 был основан в 1967 г. Театр ставит спектакли на рус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ском и бурятском языках, при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общая юных зрителей к своим корням и прививая любовь к родному бурятскому языку. Его спектакли уже четырежды стано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вились лауреатами Международ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ного фестиваля «Золотая маска»</w:t>
      </w:r>
    </w:p>
    <w:p w:rsidR="00283FAD" w:rsidRPr="00283FAD" w:rsidRDefault="00283FAD" w:rsidP="00283FAD">
      <w:pPr>
        <w:shd w:val="clear" w:color="auto" w:fill="FFFFFF"/>
        <w:spacing w:after="0"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Бурятский государственный ака</w:t>
      </w: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softHyphen/>
        <w:t xml:space="preserve">демический театр драмы им. Х.Н. </w:t>
      </w:r>
      <w:proofErr w:type="spellStart"/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Намсараева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 – старейший театр Бурятии. В1959 г. театру было при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 xml:space="preserve">своено имя писателя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Хоца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 xml:space="preserve"> </w:t>
      </w:r>
      <w:proofErr w:type="spellStart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Намса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раева</w:t>
      </w:r>
      <w:proofErr w:type="spellEnd"/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. В 2012 г. театру исполняется 80 лет. Театр ставит свои спектакли на бурятском и русском языках.</w:t>
      </w:r>
    </w:p>
    <w:p w:rsidR="0016338D" w:rsidRPr="00283FAD" w:rsidRDefault="00283FAD" w:rsidP="00283FAD">
      <w:pPr>
        <w:shd w:val="clear" w:color="auto" w:fill="FFFFFF"/>
        <w:spacing w:line="450" w:lineRule="atLeast"/>
        <w:ind w:firstLine="851"/>
        <w:jc w:val="both"/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</w:pPr>
      <w:r w:rsidRPr="00283FAD">
        <w:rPr>
          <w:rFonts w:ascii="Times New Roman" w:eastAsia="Times New Roman" w:hAnsi="Times New Roman" w:cs="Times New Roman"/>
          <w:b/>
          <w:bCs/>
          <w:color w:val="0E0F0F"/>
          <w:sz w:val="24"/>
          <w:szCs w:val="24"/>
          <w:lang w:eastAsia="ru-RU"/>
        </w:rPr>
        <w:t>Государственный театр песни и танца «Байкал»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t> показывает красоту и самобытность старин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ных песен и танцев, костюмов и орнаментов, сохраняя фольклор в первозданном виде и в то же время создавая новые формы и средства художественного выра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жения. Демонстрирует развитие традиций фольклорного и совре</w:t>
      </w:r>
      <w:r w:rsidRPr="00283FAD">
        <w:rPr>
          <w:rFonts w:ascii="Times New Roman" w:eastAsia="Times New Roman" w:hAnsi="Times New Roman" w:cs="Times New Roman"/>
          <w:color w:val="0E0F0F"/>
          <w:sz w:val="24"/>
          <w:szCs w:val="24"/>
          <w:lang w:eastAsia="ru-RU"/>
        </w:rPr>
        <w:softHyphen/>
        <w:t>менного эстрадного искусства.</w:t>
      </w:r>
      <w:bookmarkStart w:id="0" w:name="_GoBack"/>
      <w:bookmarkEnd w:id="0"/>
    </w:p>
    <w:sectPr w:rsidR="0016338D" w:rsidRPr="00283FAD" w:rsidSect="00283F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39"/>
    <w:rsid w:val="0016338D"/>
    <w:rsid w:val="00283FAD"/>
    <w:rsid w:val="00BB7A39"/>
    <w:rsid w:val="00E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D373"/>
  <w15:chartTrackingRefBased/>
  <w15:docId w15:val="{0707FC40-B8E9-4817-9D57-53166627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6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291">
              <w:marLeft w:val="-1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&#1073;&#1091;&#1088;&#1103;&#1090;&#1080;&#1103;100.&#1088;&#1092;/upload/resize_cache/iblock/bb4/1200_1200_1/kocwcrfk2gqvm2j8tmwlg3prbhehcmqt.jpg" TargetMode="External"/><Relationship Id="rId26" Type="http://schemas.openxmlformats.org/officeDocument/2006/relationships/hyperlink" Target="https://&#1073;&#1091;&#1088;&#1103;&#1090;&#1080;&#1103;100.&#1088;&#1092;/upload/resize_cache/iblock/609/1200_1200_1/vwyzacl584j223ji9ogrih95hzlqhvi5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s://&#1073;&#1091;&#1088;&#1103;&#1090;&#1080;&#1103;100.&#1088;&#1092;/upload/resize_cache/iblock/c93/1200_1200_1/gvvo1qz2ginfpqr8muqc6rnvlx5upu5k.jpg" TargetMode="Externa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&#1073;&#1091;&#1088;&#1103;&#1090;&#1080;&#1103;100.&#1088;&#1092;/upload/resize_cache/iblock/e72/1200_1200_1/01z8mfz710ftt4w1gekg4mmmwislsg93.jpg" TargetMode="External"/><Relationship Id="rId20" Type="http://schemas.openxmlformats.org/officeDocument/2006/relationships/hyperlink" Target="https://&#1073;&#1091;&#1088;&#1103;&#1090;&#1080;&#1103;100.&#1088;&#1092;/upload/resize_cache/iblock/6ba/1200_1200_1/rs05hzjw7mlarx3efvhppm28a8szynnj.jpg" TargetMode="External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73;&#1091;&#1088;&#1103;&#1090;&#1080;&#1103;100.&#1088;&#1092;/upload/resize_cache/iblock/6b1/1200_1200_1/7roz6cymkzncfwynwecmx3sk9ne8lwex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&#1073;&#1091;&#1088;&#1103;&#1090;&#1080;&#1103;100.&#1088;&#1092;/upload/resize_cache/iblock/4bc/1200_1200_1/kjitev97ckmnkim6rfwnc0dl3mcob2fb.jpg" TargetMode="External"/><Relationship Id="rId32" Type="http://schemas.openxmlformats.org/officeDocument/2006/relationships/hyperlink" Target="https://&#1073;&#1091;&#1088;&#1103;&#1090;&#1080;&#1103;100.&#1088;&#1092;/upload/resize_cache/iblock/f0e/1200_1200_1/ebchz0fputurhxeu3mw0mckbj5pg1pj8.jpg" TargetMode="External"/><Relationship Id="rId37" Type="http://schemas.openxmlformats.org/officeDocument/2006/relationships/image" Target="media/image17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&#1073;&#1091;&#1088;&#1103;&#1090;&#1080;&#1103;100.&#1088;&#1092;/upload/resize_cache/iblock/38a/1200_1200_1/dbx2xyqxlmwqc8z1lv4cnldjbgakh6g6.jpg" TargetMode="External"/><Relationship Id="rId36" Type="http://schemas.openxmlformats.org/officeDocument/2006/relationships/hyperlink" Target="https://&#1073;&#1091;&#1088;&#1103;&#1090;&#1080;&#1103;100.&#1088;&#1092;/upload/resize_cache/iblock/704/1200_1200_1/zj61nl8m3at5p2svpz81qd1qm8r3jj81.jpg" TargetMode="External"/><Relationship Id="rId10" Type="http://schemas.openxmlformats.org/officeDocument/2006/relationships/hyperlink" Target="https://&#1073;&#1091;&#1088;&#1103;&#1090;&#1080;&#1103;100.&#1088;&#1092;/upload/resize_cache/iblock/0b4/1200_1200_1/mcifhnw48fca1s9qrshsif3zjtnvmp3s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s://&#1073;&#1091;&#1088;&#1103;&#1090;&#1080;&#1103;100.&#1088;&#1092;/upload/resize_cache/iblock/a62/1200_1200_1/adkl3urrl7sz0zo7r3e23rpa346nwo3r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&#1073;&#1091;&#1088;&#1103;&#1090;&#1080;&#1103;100.&#1088;&#1092;/upload/resize_cache/iblock/066/1200_1200_1/y3tdbjvr22phfg5qwptp7zw3z565dec6.jpg" TargetMode="External"/><Relationship Id="rId22" Type="http://schemas.openxmlformats.org/officeDocument/2006/relationships/hyperlink" Target="https://&#1073;&#1091;&#1088;&#1103;&#1090;&#1080;&#1103;100.&#1088;&#1092;/upload/resize_cache/iblock/62a/1200_1200_1/28nyxzvlj5n45u19g34a50l3rujqsqh1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&#1073;&#1091;&#1088;&#1103;&#1090;&#1080;&#1103;100.&#1088;&#1092;/upload/resize_cache/iblock/b57/1200_1200_1/592hv8sfynf3aceakg2jo6a063ha11pi.jpg" TargetMode="External"/><Relationship Id="rId35" Type="http://schemas.openxmlformats.org/officeDocument/2006/relationships/image" Target="media/image16.jpeg"/><Relationship Id="rId8" Type="http://schemas.openxmlformats.org/officeDocument/2006/relationships/hyperlink" Target="https://&#1073;&#1091;&#1088;&#1103;&#1090;&#1080;&#1103;100.&#1088;&#1092;/upload/resize_cache/iblock/abd/1200_1200_1/9nvpqulf1icns8lma13t8fakhb0prmr1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&#1073;&#1091;&#1088;&#1103;&#1090;&#1080;&#1103;100.&#1088;&#1092;/upload/resize_cache/iblock/33f/1200_1200_1/qtous1fmmggva9zftfjy1jlwsx3nk6ot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&#1073;&#1091;&#1088;&#1103;&#1090;&#1080;&#1103;100.&#1088;&#1092;/upload/resize_cache/iblock/fa3/1200_1200_1/lxu280ef5p0jjflrryqi2o70hwfwfy0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2568</Words>
  <Characters>14643</Characters>
  <Application>Microsoft Office Word</Application>
  <DocSecurity>0</DocSecurity>
  <Lines>122</Lines>
  <Paragraphs>34</Paragraphs>
  <ScaleCrop>false</ScaleCrop>
  <Company>DEXP</Company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Буланова</dc:creator>
  <cp:keywords/>
  <dc:description/>
  <cp:lastModifiedBy>Татьяна Буланова</cp:lastModifiedBy>
  <cp:revision>2</cp:revision>
  <dcterms:created xsi:type="dcterms:W3CDTF">2025-05-06T03:20:00Z</dcterms:created>
  <dcterms:modified xsi:type="dcterms:W3CDTF">2025-05-06T03:28:00Z</dcterms:modified>
</cp:coreProperties>
</file>