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A0" w:rsidRPr="00373CA0" w:rsidRDefault="00373CA0" w:rsidP="00373CA0">
      <w:pPr>
        <w:jc w:val="center"/>
        <w:rPr>
          <w:rFonts w:ascii="Times New Roman" w:hAnsi="Times New Roman" w:cs="Times New Roman"/>
        </w:rPr>
      </w:pPr>
      <w:r w:rsidRPr="00373CA0">
        <w:rPr>
          <w:rFonts w:ascii="Times New Roman" w:hAnsi="Times New Roman" w:cs="Times New Roman"/>
        </w:rPr>
        <w:t>Муниципальное казённое образовательное учреждение дополнительного образования</w:t>
      </w:r>
    </w:p>
    <w:p w:rsidR="00373CA0" w:rsidRPr="00373CA0" w:rsidRDefault="00373CA0" w:rsidP="00373CA0">
      <w:pPr>
        <w:jc w:val="center"/>
      </w:pPr>
      <w:r w:rsidRPr="00373CA0">
        <w:rPr>
          <w:rFonts w:ascii="Times New Roman" w:hAnsi="Times New Roman" w:cs="Times New Roman"/>
        </w:rPr>
        <w:t>«</w:t>
      </w:r>
      <w:proofErr w:type="spellStart"/>
      <w:r w:rsidRPr="00373CA0">
        <w:rPr>
          <w:rFonts w:ascii="Times New Roman" w:hAnsi="Times New Roman" w:cs="Times New Roman"/>
        </w:rPr>
        <w:t>Юрюзанская</w:t>
      </w:r>
      <w:proofErr w:type="spellEnd"/>
      <w:r w:rsidRPr="00373CA0">
        <w:rPr>
          <w:rFonts w:ascii="Times New Roman" w:hAnsi="Times New Roman" w:cs="Times New Roman"/>
        </w:rPr>
        <w:t xml:space="preserve"> детская школа искусств </w:t>
      </w:r>
      <w:proofErr w:type="spellStart"/>
      <w:proofErr w:type="gramStart"/>
      <w:r w:rsidRPr="00373CA0">
        <w:rPr>
          <w:rFonts w:ascii="Times New Roman" w:hAnsi="Times New Roman" w:cs="Times New Roman"/>
        </w:rPr>
        <w:t>Катав-Ивановского</w:t>
      </w:r>
      <w:proofErr w:type="spellEnd"/>
      <w:proofErr w:type="gramEnd"/>
      <w:r w:rsidRPr="00373CA0">
        <w:rPr>
          <w:rFonts w:ascii="Times New Roman" w:hAnsi="Times New Roman" w:cs="Times New Roman"/>
        </w:rPr>
        <w:t xml:space="preserve"> муниципального района»</w:t>
      </w:r>
    </w:p>
    <w:p w:rsidR="00373CA0" w:rsidRPr="00373CA0" w:rsidRDefault="00373CA0" w:rsidP="00373CA0">
      <w:pPr>
        <w:jc w:val="center"/>
        <w:rPr>
          <w:sz w:val="28"/>
          <w:szCs w:val="28"/>
        </w:rPr>
      </w:pPr>
    </w:p>
    <w:p w:rsidR="00373CA0" w:rsidRPr="00373CA0" w:rsidRDefault="00373CA0" w:rsidP="00373CA0">
      <w:pPr>
        <w:jc w:val="center"/>
        <w:rPr>
          <w:sz w:val="28"/>
          <w:szCs w:val="28"/>
        </w:rPr>
      </w:pPr>
    </w:p>
    <w:p w:rsidR="00373CA0" w:rsidRPr="00373CA0" w:rsidRDefault="00373CA0" w:rsidP="00373CA0">
      <w:pPr>
        <w:jc w:val="center"/>
        <w:rPr>
          <w:sz w:val="28"/>
          <w:szCs w:val="28"/>
        </w:rPr>
      </w:pPr>
    </w:p>
    <w:p w:rsidR="00373CA0" w:rsidRPr="00373CA0" w:rsidRDefault="00373CA0" w:rsidP="00373CA0">
      <w:pPr>
        <w:jc w:val="center"/>
        <w:rPr>
          <w:sz w:val="28"/>
          <w:szCs w:val="28"/>
        </w:rPr>
      </w:pPr>
    </w:p>
    <w:p w:rsidR="00373CA0" w:rsidRPr="00373CA0" w:rsidRDefault="00373CA0" w:rsidP="00373CA0">
      <w:pPr>
        <w:jc w:val="center"/>
        <w:rPr>
          <w:sz w:val="28"/>
          <w:szCs w:val="28"/>
        </w:rPr>
      </w:pPr>
    </w:p>
    <w:p w:rsidR="00373CA0" w:rsidRPr="00373CA0" w:rsidRDefault="00373CA0" w:rsidP="00373CA0">
      <w:pPr>
        <w:jc w:val="center"/>
        <w:rPr>
          <w:sz w:val="28"/>
          <w:szCs w:val="28"/>
        </w:rPr>
      </w:pPr>
    </w:p>
    <w:p w:rsidR="00373CA0" w:rsidRPr="00373CA0" w:rsidRDefault="00373CA0" w:rsidP="00373CA0">
      <w:pPr>
        <w:jc w:val="center"/>
        <w:rPr>
          <w:sz w:val="28"/>
          <w:szCs w:val="28"/>
        </w:rPr>
      </w:pPr>
    </w:p>
    <w:p w:rsidR="00373CA0" w:rsidRPr="00373CA0" w:rsidRDefault="00373CA0" w:rsidP="00373CA0">
      <w:pPr>
        <w:rPr>
          <w:rFonts w:ascii="Times New Roman" w:hAnsi="Times New Roman" w:cs="Times New Roman"/>
          <w:b/>
          <w:sz w:val="28"/>
          <w:szCs w:val="28"/>
        </w:rPr>
      </w:pPr>
      <w:r w:rsidRPr="00373C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С.В. Катюшина</w:t>
      </w:r>
    </w:p>
    <w:p w:rsidR="00373CA0" w:rsidRPr="00373CA0" w:rsidRDefault="00373CA0" w:rsidP="00373CA0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познавательных компетенций у младших школьников на уроках фортепиано в ДШИ»</w:t>
      </w:r>
    </w:p>
    <w:p w:rsidR="00373CA0" w:rsidRPr="00373CA0" w:rsidRDefault="00373CA0" w:rsidP="00373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A0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373CA0" w:rsidRDefault="00373CA0" w:rsidP="00373CA0">
      <w:pPr>
        <w:jc w:val="center"/>
        <w:rPr>
          <w:b/>
          <w:sz w:val="28"/>
          <w:szCs w:val="28"/>
        </w:rPr>
      </w:pPr>
    </w:p>
    <w:p w:rsidR="00373CA0" w:rsidRDefault="00373CA0" w:rsidP="00373CA0">
      <w:pPr>
        <w:jc w:val="center"/>
        <w:rPr>
          <w:b/>
          <w:sz w:val="28"/>
          <w:szCs w:val="28"/>
        </w:rPr>
      </w:pPr>
    </w:p>
    <w:p w:rsidR="00373CA0" w:rsidRDefault="00373CA0" w:rsidP="00373CA0">
      <w:pPr>
        <w:jc w:val="center"/>
        <w:rPr>
          <w:b/>
          <w:sz w:val="28"/>
          <w:szCs w:val="28"/>
        </w:rPr>
      </w:pPr>
    </w:p>
    <w:p w:rsidR="00373CA0" w:rsidRDefault="00373CA0" w:rsidP="00373CA0">
      <w:pPr>
        <w:jc w:val="center"/>
        <w:rPr>
          <w:b/>
          <w:sz w:val="28"/>
          <w:szCs w:val="28"/>
        </w:rPr>
      </w:pPr>
    </w:p>
    <w:p w:rsidR="00373CA0" w:rsidRDefault="00373CA0" w:rsidP="00373CA0">
      <w:pPr>
        <w:jc w:val="center"/>
        <w:rPr>
          <w:b/>
          <w:sz w:val="28"/>
          <w:szCs w:val="28"/>
        </w:rPr>
      </w:pPr>
    </w:p>
    <w:p w:rsidR="00373CA0" w:rsidRDefault="00373CA0" w:rsidP="00373CA0">
      <w:pPr>
        <w:jc w:val="center"/>
        <w:rPr>
          <w:b/>
          <w:sz w:val="28"/>
          <w:szCs w:val="28"/>
        </w:rPr>
      </w:pPr>
    </w:p>
    <w:p w:rsidR="00373CA0" w:rsidRDefault="00373CA0" w:rsidP="00373CA0">
      <w:pPr>
        <w:jc w:val="center"/>
        <w:rPr>
          <w:b/>
          <w:sz w:val="28"/>
          <w:szCs w:val="28"/>
        </w:rPr>
      </w:pPr>
    </w:p>
    <w:p w:rsidR="00373CA0" w:rsidRDefault="00373CA0" w:rsidP="00373CA0">
      <w:pPr>
        <w:jc w:val="center"/>
        <w:rPr>
          <w:b/>
          <w:sz w:val="28"/>
          <w:szCs w:val="28"/>
        </w:rPr>
      </w:pPr>
    </w:p>
    <w:p w:rsidR="00373CA0" w:rsidRDefault="00373CA0" w:rsidP="00373CA0">
      <w:pPr>
        <w:jc w:val="center"/>
        <w:rPr>
          <w:b/>
          <w:sz w:val="28"/>
          <w:szCs w:val="28"/>
        </w:rPr>
      </w:pPr>
    </w:p>
    <w:p w:rsidR="00373CA0" w:rsidRDefault="00373CA0" w:rsidP="00373CA0">
      <w:pPr>
        <w:jc w:val="center"/>
        <w:rPr>
          <w:b/>
          <w:sz w:val="28"/>
          <w:szCs w:val="28"/>
        </w:rPr>
      </w:pPr>
    </w:p>
    <w:p w:rsidR="00373CA0" w:rsidRDefault="00373CA0" w:rsidP="00373CA0">
      <w:pPr>
        <w:jc w:val="center"/>
        <w:rPr>
          <w:b/>
          <w:sz w:val="28"/>
          <w:szCs w:val="28"/>
        </w:rPr>
      </w:pPr>
    </w:p>
    <w:p w:rsidR="00373CA0" w:rsidRDefault="00373CA0" w:rsidP="00373C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Юрюзань 2025г.</w:t>
      </w:r>
    </w:p>
    <w:p w:rsidR="00373CA0" w:rsidRDefault="00373CA0" w:rsidP="002C0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73CA0" w:rsidRPr="00373CA0" w:rsidRDefault="00373CA0" w:rsidP="00373CA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3CA0">
        <w:rPr>
          <w:rFonts w:ascii="Times New Roman" w:hAnsi="Times New Roman" w:cs="Times New Roman"/>
          <w:sz w:val="24"/>
          <w:szCs w:val="24"/>
        </w:rPr>
        <w:t>Введение</w:t>
      </w:r>
    </w:p>
    <w:p w:rsidR="00373CA0" w:rsidRDefault="002C0939" w:rsidP="002C093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Объект изучения</w:t>
      </w:r>
    </w:p>
    <w:p w:rsidR="002C0939" w:rsidRDefault="002C0939" w:rsidP="002C093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изучения</w:t>
      </w:r>
    </w:p>
    <w:p w:rsidR="002C0939" w:rsidRDefault="002C0939" w:rsidP="002C093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</w:t>
      </w:r>
    </w:p>
    <w:p w:rsidR="002C0939" w:rsidRDefault="002C0939" w:rsidP="002C093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изучения</w:t>
      </w:r>
    </w:p>
    <w:p w:rsidR="002C0939" w:rsidRPr="002C0939" w:rsidRDefault="002C0939" w:rsidP="002C093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компетенции</w:t>
      </w:r>
    </w:p>
    <w:p w:rsidR="00373CA0" w:rsidRPr="00373CA0" w:rsidRDefault="00373CA0" w:rsidP="00373CA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3CA0">
        <w:rPr>
          <w:rFonts w:ascii="Times New Roman" w:hAnsi="Times New Roman" w:cs="Times New Roman"/>
          <w:sz w:val="24"/>
          <w:szCs w:val="24"/>
        </w:rPr>
        <w:t>Заключение</w:t>
      </w:r>
    </w:p>
    <w:p w:rsidR="00373CA0" w:rsidRPr="00373CA0" w:rsidRDefault="00373CA0" w:rsidP="00373CA0">
      <w:pPr>
        <w:pStyle w:val="a6"/>
        <w:numPr>
          <w:ilvl w:val="0"/>
          <w:numId w:val="9"/>
        </w:numPr>
        <w:rPr>
          <w:b/>
          <w:sz w:val="24"/>
          <w:szCs w:val="24"/>
        </w:rPr>
      </w:pPr>
      <w:r w:rsidRPr="00373CA0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217DC3" w:rsidRDefault="00217DC3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373CA0" w:rsidRDefault="00373CA0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</w:pPr>
    </w:p>
    <w:p w:rsidR="00217DC3" w:rsidRPr="00217DC3" w:rsidRDefault="00217DC3" w:rsidP="00217DC3">
      <w:pPr>
        <w:spacing w:after="0" w:line="309" w:lineRule="atLeast"/>
        <w:jc w:val="center"/>
        <w:textAlignment w:val="baseline"/>
        <w:outlineLvl w:val="0"/>
        <w:rPr>
          <w:rFonts w:ascii="Roboto" w:eastAsia="Times New Roman" w:hAnsi="Roboto" w:cs="Times New Roman"/>
          <w:color w:val="222222"/>
          <w:kern w:val="36"/>
          <w:sz w:val="26"/>
          <w:szCs w:val="26"/>
        </w:rPr>
      </w:pPr>
      <w:r w:rsidRPr="00217DC3">
        <w:rPr>
          <w:rFonts w:ascii="Roboto" w:eastAsia="Times New Roman" w:hAnsi="Roboto" w:cs="Times New Roman"/>
          <w:b/>
          <w:bCs/>
          <w:color w:val="222222"/>
          <w:kern w:val="36"/>
          <w:sz w:val="26"/>
          <w:szCs w:val="26"/>
        </w:rPr>
        <w:lastRenderedPageBreak/>
        <w:t>Формирование познавательных компетенций у младших школьников на уроках фортепиано в ДШИ</w:t>
      </w:r>
    </w:p>
    <w:p w:rsidR="00217DC3" w:rsidRPr="00217DC3" w:rsidRDefault="00217DC3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14"/>
          <w:szCs w:val="14"/>
        </w:rPr>
      </w:pPr>
    </w:p>
    <w:p w:rsidR="00217DC3" w:rsidRPr="00373CA0" w:rsidRDefault="00217DC3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В российской педагогической науке идет сегодня интенсивный поиск новых приемов и способов обучения, адекватных времени и новым тенденциям в жизни общества. Педагогические инновации последних десятилетий направлены на преодоление жесткого манипулирования сознанием воспитанников. </w:t>
      </w:r>
      <w:proofErr w:type="spellStart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Гуманизация</w:t>
      </w:r>
      <w:proofErr w:type="spellEnd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, т.е. «очеловечивание» образования ориентирует педагога на уважение личности воспитанника, установление гуманных, доверительных, партнерских отношений. Необходимо отметить, что педагогические инновации имеют смысл, если они обладают гуманистической направленностью. Специфика их состоит в ориентации на личность. Изменения в отношениях учителя и ученика являются социально-психологическим условием, ведущим к личностному изменению субъектов образовательного процесса.</w:t>
      </w:r>
    </w:p>
    <w:p w:rsidR="00217DC3" w:rsidRPr="00373CA0" w:rsidRDefault="00217DC3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Компетентностный</w:t>
      </w:r>
      <w:proofErr w:type="spellEnd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подход, активно продвигаемый в общеобразовательной школе, никак не минует предметы цикла специального фортепиано. Важным этапом этого подхода является формирование у школьников </w:t>
      </w:r>
      <w:r w:rsidRPr="00373CA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универсальных учебных действий</w:t>
      </w: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(УУД). Различают личностные, коммуникативные, познавательные и регулятивные компетенции. И задачей педагога становится создание той звуковой, информационной, музыкальной  среды, в которой ребенок сможет проявить инициативу, овладеть навыками самостоятельной работы и, наконец, раскрыть свой потенциал.</w:t>
      </w:r>
    </w:p>
    <w:p w:rsidR="00217DC3" w:rsidRDefault="00217DC3" w:rsidP="00217DC3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Все перечисленные задачи довольно успешно решаются на уроках фортепиано в детских музыкальных школах (ДМШ) или школах искусств</w:t>
      </w:r>
      <w:proofErr w:type="gramStart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Этому способствует организация индивидуальных уроков. Она происходит в соответствии с индивидуальными  особенностями и возможностями детей, уровнем их развития. Изучение личности ребенка через его деятельность, подбор индивидуальных способов взаимодействия на уроке – важный аспект, который позволяет достаточно эффективно формировать познавательные компетенции учеников.</w:t>
      </w:r>
    </w:p>
    <w:p w:rsidR="00373CA0" w:rsidRPr="00373CA0" w:rsidRDefault="00373CA0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217DC3" w:rsidRDefault="00217DC3" w:rsidP="00217DC3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373CA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Объект изучения:</w:t>
      </w: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процесс обучения младших школьников на уроках фортепиано в ДМШ.</w:t>
      </w:r>
    </w:p>
    <w:p w:rsidR="00373CA0" w:rsidRPr="00373CA0" w:rsidRDefault="00373CA0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217DC3" w:rsidRDefault="00217DC3" w:rsidP="00217DC3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373CA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Предмет   изучения: </w:t>
      </w: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формирование познавательных компетенций у младших школьников на уроках фортепиано в ДМШ.</w:t>
      </w:r>
    </w:p>
    <w:p w:rsidR="00373CA0" w:rsidRPr="00373CA0" w:rsidRDefault="00373CA0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217DC3" w:rsidRDefault="00217DC3" w:rsidP="00217DC3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373CA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Цель изучения</w:t>
      </w: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: определить, при каких условиях происходит формирование коммуникативных компетенций у младших школьников на уроках фортепиано в ДМШ.</w:t>
      </w:r>
    </w:p>
    <w:p w:rsidR="00373CA0" w:rsidRPr="00373CA0" w:rsidRDefault="00373CA0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217DC3" w:rsidRPr="00373CA0" w:rsidRDefault="00217DC3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73CA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Задачи изучения</w:t>
      </w: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: </w:t>
      </w:r>
    </w:p>
    <w:p w:rsidR="00217DC3" w:rsidRPr="00373CA0" w:rsidRDefault="00217DC3" w:rsidP="00217DC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раскрыть понятие «Познавательные компетенции»</w:t>
      </w:r>
    </w:p>
    <w:p w:rsidR="00217DC3" w:rsidRPr="00373CA0" w:rsidRDefault="00217DC3" w:rsidP="00217DC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охарактеризовать  психофизиологические  предпосылки формирования познавательных компетенций у младших школьников в классе фортепиано в ДМШ;</w:t>
      </w:r>
    </w:p>
    <w:p w:rsidR="00217DC3" w:rsidRPr="00373CA0" w:rsidRDefault="00217DC3" w:rsidP="00217DC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выявить педагогические условия, при которых происходит формирование познавательных компетенций у младших школьников на уроках фортепиано в ДМШ.</w:t>
      </w:r>
    </w:p>
    <w:p w:rsidR="00373CA0" w:rsidRPr="00373CA0" w:rsidRDefault="00373CA0" w:rsidP="00373CA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217DC3" w:rsidRPr="00373CA0" w:rsidRDefault="00217DC3" w:rsidP="00217DC3">
      <w:pPr>
        <w:spacing w:after="129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73CA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Познавательные компетенции</w:t>
      </w:r>
    </w:p>
    <w:p w:rsidR="00217DC3" w:rsidRPr="00373CA0" w:rsidRDefault="00217DC3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А.В.</w:t>
      </w:r>
      <w:proofErr w:type="gramStart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Хуторской</w:t>
      </w:r>
      <w:proofErr w:type="gramEnd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, различая понятия «компетенция» и «компетентность», предлагает следующие определения:</w:t>
      </w:r>
    </w:p>
    <w:p w:rsidR="00217DC3" w:rsidRPr="00373CA0" w:rsidRDefault="00217DC3" w:rsidP="00217DC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компетенция  включает совокупность взаимосвязанных качеств личности: знаний, умений, навыков, способов деятельности, задаваемых по отношению к определенному кругу предметов и процессов, и необходимых для качественной продуктивной деятельности по отношению к ним. </w:t>
      </w:r>
    </w:p>
    <w:p w:rsidR="00217DC3" w:rsidRPr="00373CA0" w:rsidRDefault="00217DC3" w:rsidP="00217DC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lastRenderedPageBreak/>
        <w:t>компетентность – это владение, обладание человеком соответствующей компетенцией, включающей его личностное отношение к ней и предмету деятельности.</w:t>
      </w:r>
    </w:p>
    <w:p w:rsidR="00217DC3" w:rsidRPr="00373CA0" w:rsidRDefault="00217DC3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 познавательным компетенциям относятся</w:t>
      </w:r>
      <w:r w:rsidRPr="00373CA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:</w:t>
      </w:r>
    </w:p>
    <w:p w:rsidR="00217DC3" w:rsidRPr="00373CA0" w:rsidRDefault="00217DC3" w:rsidP="00217DC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знания и умения </w:t>
      </w:r>
      <w:proofErr w:type="spellStart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целеполагания</w:t>
      </w:r>
      <w:proofErr w:type="spellEnd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, </w:t>
      </w:r>
    </w:p>
    <w:p w:rsidR="00217DC3" w:rsidRPr="00373CA0" w:rsidRDefault="00217DC3" w:rsidP="00217DC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планирования, </w:t>
      </w:r>
    </w:p>
    <w:p w:rsidR="00217DC3" w:rsidRPr="00373CA0" w:rsidRDefault="00217DC3" w:rsidP="00217DC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анализа,</w:t>
      </w:r>
    </w:p>
    <w:p w:rsidR="00217DC3" w:rsidRPr="00373CA0" w:rsidRDefault="00217DC3" w:rsidP="00217DC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рефлексии, </w:t>
      </w:r>
    </w:p>
    <w:p w:rsidR="00217DC3" w:rsidRPr="00217DC3" w:rsidRDefault="00217DC3" w:rsidP="00217DC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14"/>
          <w:szCs w:val="1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самооценки учебно-познавательной деятельности и т.п.</w:t>
      </w:r>
      <w:r w:rsidRPr="00217DC3">
        <w:rPr>
          <w:rFonts w:ascii="inherit" w:eastAsia="Times New Roman" w:hAnsi="inherit" w:cs="Times New Roman"/>
          <w:color w:val="000000"/>
          <w:sz w:val="14"/>
          <w:szCs w:val="14"/>
          <w:bdr w:val="none" w:sz="0" w:space="0" w:color="auto" w:frame="1"/>
        </w:rPr>
        <w:t> </w:t>
      </w:r>
    </w:p>
    <w:p w:rsidR="00217DC3" w:rsidRPr="00373CA0" w:rsidRDefault="00217DC3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                 Помимо ключевых компетенций, общих для всех предметных областей, выделяются и предметные компетенции — это специфические способности, необходимые для эффективного выполнения конкретного действия в конкретной предметной области и включающие узкоспециальные знания, особого рода предметные умения, навыки, способы мышления.  Для уроков фортепиано основными такими компетенциями будут:    </w:t>
      </w:r>
    </w:p>
    <w:p w:rsidR="00217DC3" w:rsidRPr="00373CA0" w:rsidRDefault="00217DC3" w:rsidP="00217DC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владение игровым аппаратом, </w:t>
      </w:r>
    </w:p>
    <w:p w:rsidR="00217DC3" w:rsidRPr="00373CA0" w:rsidRDefault="00217DC3" w:rsidP="00217DC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осознание  </w:t>
      </w:r>
      <w:proofErr w:type="spellStart"/>
      <w:proofErr w:type="gramStart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метро-ритмических</w:t>
      </w:r>
      <w:proofErr w:type="spellEnd"/>
      <w:proofErr w:type="gramEnd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особенностей музыки, </w:t>
      </w:r>
    </w:p>
    <w:p w:rsidR="00217DC3" w:rsidRPr="00373CA0" w:rsidRDefault="00217DC3" w:rsidP="00217DC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овладение графическим восприятием нотной записи, </w:t>
      </w:r>
    </w:p>
    <w:p w:rsidR="00217DC3" w:rsidRPr="00373CA0" w:rsidRDefault="00217DC3" w:rsidP="00217DC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умение чисто интонировать и импровизировать голосом, </w:t>
      </w:r>
    </w:p>
    <w:p w:rsidR="00217DC3" w:rsidRPr="00373CA0" w:rsidRDefault="00217DC3" w:rsidP="00217DC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умение импровизировать на фортепиано, </w:t>
      </w:r>
    </w:p>
    <w:p w:rsidR="00217DC3" w:rsidRPr="00373CA0" w:rsidRDefault="00217DC3" w:rsidP="00217DC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умение выразительно исполнить произведение.  </w:t>
      </w:r>
    </w:p>
    <w:p w:rsidR="00217DC3" w:rsidRPr="00373CA0" w:rsidRDefault="00217DC3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Вторая группа компетенций знакома и важна любому педагогу по фортепиано, но не менее важна первая группа. Ребенок начинает заниматься музыкой, как правило, в очень раннем возрасте – 6-7 лет, иногда и в 4-5 лет, когда мышление ребенка не абстрактное, а образно-конкретное, и, может показаться, что прививать навыки </w:t>
      </w:r>
      <w:proofErr w:type="spellStart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целеполагания</w:t>
      </w:r>
      <w:proofErr w:type="spellEnd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, планирования, анализа ему еще рано. Мне кажется, что это не так. И вот почему. Довольно часто дети  не могут оценить труд и усилия, приложенные ими для достижения результата, им кажется, что все, что они уже умеют играть – слишком легко, а все, что они не играют (даже если это соседняя песенка или упражнение) – слишком сложно. И вот тут в ход идет сравнение с предыдущим, а это начало анализа. Так же происходит и с другими компетенциями. Можно просто похвалить малыша за удачно исполненное произведение, а можно выделить, чт</w:t>
      </w:r>
      <w:r w:rsidRPr="00373CA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о </w:t>
      </w: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именно вам понравилось в его исполнении – правильные пальцы, красивый штрих или яркость оттенков. И это будет основой для его самооценки. А можно спросить – понравилось ли ему самому, как он исполнил пьесу. И это начало рефлексии.</w:t>
      </w:r>
    </w:p>
    <w:p w:rsidR="00217DC3" w:rsidRPr="00373CA0" w:rsidRDefault="00217DC3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Навык планирования развивается тогда, когда мы вместе с ребенком ставим цели для работы дома.</w:t>
      </w:r>
    </w:p>
    <w:p w:rsidR="00217DC3" w:rsidRPr="00373CA0" w:rsidRDefault="00217DC3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Этапы работы над любой пьесой, в сущности, представляют собой этапы развития познавательных компетенций. </w:t>
      </w:r>
      <w:proofErr w:type="gramStart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Так, разбор нотного текста связан с анализом, отработка трудных мест тоже осуществляется при помощи анализа – почему не получается (неудобные пальцы, новая аппликатурная позиция и т.п.))</w:t>
      </w:r>
      <w:proofErr w:type="gramEnd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Работа дома, как и окончательная отделка произведения, развивает рефлексию, планирование и </w:t>
      </w:r>
      <w:proofErr w:type="spellStart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целеполагание</w:t>
      </w:r>
      <w:proofErr w:type="spellEnd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 Надо сказать, что в результате такой деятельности дети потом сами начинают анализировать свое исполнение, лучше слышат свои ошибки, учатся оценивать свои сильные и слабые места. И через уроки фортепиано, через музыку делают шаг к самим себе.</w:t>
      </w:r>
    </w:p>
    <w:p w:rsidR="00217DC3" w:rsidRPr="00373CA0" w:rsidRDefault="00217DC3" w:rsidP="00217DC3">
      <w:pPr>
        <w:spacing w:after="129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73CA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Заключение</w:t>
      </w:r>
    </w:p>
    <w:p w:rsidR="00217DC3" w:rsidRPr="00373CA0" w:rsidRDefault="00217DC3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 Нельзя оставить без внимания мысль, что внимание современного  ребенка, в основном направлено вовне. Но музыкант не может выразить музыкой то, чего не может понять или ощутить сам глубоко внутри себя. Поэтому с самого начала обучения привлекать внимание ребенка к тому, что происходит внутри у него самого, </w:t>
      </w:r>
      <w:proofErr w:type="gramStart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помогать ему осознать</w:t>
      </w:r>
      <w:proofErr w:type="gramEnd"/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и проявить свои чувства.  </w:t>
      </w:r>
    </w:p>
    <w:p w:rsidR="00217DC3" w:rsidRPr="00373CA0" w:rsidRDefault="00217DC3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И чтобы процесс обучения не вызывал отторжения у маленьких музыкантов, нужно ставить перед ними соответствующие их возможностям задачи. Поэтому очень важно не </w:t>
      </w: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lastRenderedPageBreak/>
        <w:t>форсировать обучение, а дать возможность ребенку комфортно себя почувствовать за инструментом и полюбить уроки музыки. </w:t>
      </w:r>
    </w:p>
    <w:p w:rsidR="00217DC3" w:rsidRPr="00373CA0" w:rsidRDefault="00217DC3" w:rsidP="00217DC3">
      <w:pPr>
        <w:spacing w:after="0" w:line="206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</w:p>
    <w:p w:rsidR="00217DC3" w:rsidRPr="00373CA0" w:rsidRDefault="00217DC3" w:rsidP="00217DC3">
      <w:pPr>
        <w:spacing w:after="0" w:line="206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Литература:</w:t>
      </w:r>
    </w:p>
    <w:p w:rsidR="00217DC3" w:rsidRPr="00373CA0" w:rsidRDefault="00217DC3" w:rsidP="00217DC3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Смирнова Т.И. Воспитание искусством. Москва 2008г.(75-77, 297-299)</w:t>
      </w:r>
    </w:p>
    <w:p w:rsidR="00217DC3" w:rsidRPr="00373CA0" w:rsidRDefault="00217DC3" w:rsidP="00217DC3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Как проектировать УУД в начальной школе. Просвещение 2013. (с. 90-91)</w:t>
      </w:r>
    </w:p>
    <w:p w:rsidR="00217DC3" w:rsidRPr="00373CA0" w:rsidRDefault="00217DC3" w:rsidP="00217DC3">
      <w:pPr>
        <w:numPr>
          <w:ilvl w:val="0"/>
          <w:numId w:val="5"/>
        </w:numPr>
        <w:spacing w:after="86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373CA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http://djakovichtanya.jimdo.com</w:t>
      </w:r>
    </w:p>
    <w:p w:rsidR="00217DC3" w:rsidRPr="00373CA0" w:rsidRDefault="00217DC3" w:rsidP="00217DC3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</w:rPr>
      </w:pPr>
    </w:p>
    <w:p w:rsidR="00171C39" w:rsidRDefault="00171C39"/>
    <w:sectPr w:rsidR="00171C39" w:rsidSect="00E1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42F"/>
    <w:multiLevelType w:val="multilevel"/>
    <w:tmpl w:val="F2403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307DA"/>
    <w:multiLevelType w:val="multilevel"/>
    <w:tmpl w:val="E9F8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53B42"/>
    <w:multiLevelType w:val="multilevel"/>
    <w:tmpl w:val="7736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D1210"/>
    <w:multiLevelType w:val="multilevel"/>
    <w:tmpl w:val="5130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12856"/>
    <w:multiLevelType w:val="multilevel"/>
    <w:tmpl w:val="34483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66668"/>
    <w:multiLevelType w:val="hybridMultilevel"/>
    <w:tmpl w:val="9CACE55A"/>
    <w:lvl w:ilvl="0" w:tplc="4C04B6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D0942"/>
    <w:multiLevelType w:val="multilevel"/>
    <w:tmpl w:val="8E9A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437AB1"/>
    <w:multiLevelType w:val="multilevel"/>
    <w:tmpl w:val="57F850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005A6"/>
    <w:multiLevelType w:val="multilevel"/>
    <w:tmpl w:val="A8D0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71C39"/>
    <w:rsid w:val="0011110B"/>
    <w:rsid w:val="00171C39"/>
    <w:rsid w:val="00217DC3"/>
    <w:rsid w:val="002C0939"/>
    <w:rsid w:val="00373CA0"/>
    <w:rsid w:val="005450CF"/>
    <w:rsid w:val="008D0C4E"/>
    <w:rsid w:val="00BE3601"/>
    <w:rsid w:val="00E1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D5"/>
  </w:style>
  <w:style w:type="paragraph" w:styleId="1">
    <w:name w:val="heading 1"/>
    <w:basedOn w:val="a"/>
    <w:link w:val="10"/>
    <w:uiPriority w:val="9"/>
    <w:qFormat/>
    <w:rsid w:val="00217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17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7D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17D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21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17DC3"/>
    <w:rPr>
      <w:color w:val="0000FF"/>
      <w:u w:val="single"/>
    </w:rPr>
  </w:style>
  <w:style w:type="character" w:customStyle="1" w:styleId="category">
    <w:name w:val="category"/>
    <w:basedOn w:val="a0"/>
    <w:rsid w:val="00217DC3"/>
  </w:style>
  <w:style w:type="character" w:customStyle="1" w:styleId="meta-nav">
    <w:name w:val="meta-nav"/>
    <w:basedOn w:val="a0"/>
    <w:rsid w:val="00217DC3"/>
  </w:style>
  <w:style w:type="paragraph" w:styleId="a6">
    <w:name w:val="List Paragraph"/>
    <w:basedOn w:val="a"/>
    <w:uiPriority w:val="34"/>
    <w:qFormat/>
    <w:rsid w:val="00373CA0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4342">
                          <w:marLeft w:val="0"/>
                          <w:marRight w:val="0"/>
                          <w:marTop w:val="0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2712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single" w:sz="4" w:space="0" w:color="EAEAEA"/>
                            <w:left w:val="single" w:sz="4" w:space="0" w:color="EAEAEA"/>
                            <w:bottom w:val="single" w:sz="4" w:space="0" w:color="EAEAEA"/>
                            <w:right w:val="single" w:sz="4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050422">
          <w:marLeft w:val="0"/>
          <w:marRight w:val="0"/>
          <w:marTop w:val="0"/>
          <w:marBottom w:val="0"/>
          <w:divBdr>
            <w:top w:val="single" w:sz="4" w:space="0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3772">
                      <w:marLeft w:val="0"/>
                      <w:marRight w:val="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160215">
                      <w:marLeft w:val="0"/>
                      <w:marRight w:val="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4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409807">
                      <w:marLeft w:val="0"/>
                      <w:marRight w:val="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317875">
          <w:marLeft w:val="0"/>
          <w:marRight w:val="0"/>
          <w:marTop w:val="0"/>
          <w:marBottom w:val="0"/>
          <w:divBdr>
            <w:top w:val="single" w:sz="4" w:space="4" w:color="EAEAEA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6741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2024-08-30T06:13:00Z</dcterms:created>
  <dcterms:modified xsi:type="dcterms:W3CDTF">2025-05-29T09:09:00Z</dcterms:modified>
</cp:coreProperties>
</file>