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D608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ГЕНДЕРНАЯ ЛЕКСИКА В РЕКЛАМНОМ ДИСКУРСЕ РУССКОГО И                УЗБЕКСКОГО ЯЗЫКОВ</w:t>
      </w:r>
    </w:p>
    <w:p w14:paraId="584DEF91">
      <w:pPr>
        <w:ind w:firstLine="567"/>
        <w:jc w:val="right"/>
        <w:rPr>
          <w:rStyle w:val="12"/>
          <w:rFonts w:cs="Times New Roman"/>
          <w:b/>
          <w:szCs w:val="28"/>
        </w:rPr>
      </w:pPr>
      <w:r>
        <w:rPr>
          <w:rStyle w:val="12"/>
          <w:rFonts w:cs="Times New Roman"/>
          <w:b/>
          <w:szCs w:val="28"/>
        </w:rPr>
        <w:t>Ахмадов Мирзобек Рахматуллаевич,</w:t>
      </w:r>
    </w:p>
    <w:p w14:paraId="22174EA6">
      <w:pPr>
        <w:ind w:firstLine="567"/>
        <w:rPr>
          <w:rStyle w:val="12"/>
          <w:rFonts w:cs="Times New Roman"/>
          <w:szCs w:val="28"/>
        </w:rPr>
      </w:pPr>
      <w:r>
        <w:rPr>
          <w:rStyle w:val="12"/>
          <w:rFonts w:cs="Times New Roman"/>
          <w:szCs w:val="28"/>
        </w:rPr>
        <w:t xml:space="preserve">                                                           Преподователь кафедры Узбекского</w:t>
      </w:r>
    </w:p>
    <w:p w14:paraId="51E41E61">
      <w:pPr>
        <w:ind w:firstLine="567"/>
        <w:rPr>
          <w:rStyle w:val="12"/>
          <w:rFonts w:cs="Times New Roman"/>
          <w:szCs w:val="28"/>
        </w:rPr>
      </w:pPr>
      <w:r>
        <w:rPr>
          <w:rStyle w:val="12"/>
          <w:rFonts w:cs="Times New Roman"/>
          <w:szCs w:val="28"/>
        </w:rPr>
        <w:t xml:space="preserve">                                                            языка и литературы, русского и </w:t>
      </w:r>
    </w:p>
    <w:p w14:paraId="325EF27A">
      <w:pPr>
        <w:ind w:firstLine="567"/>
        <w:rPr>
          <w:rStyle w:val="12"/>
          <w:rFonts w:cs="Times New Roman"/>
          <w:szCs w:val="28"/>
        </w:rPr>
      </w:pPr>
      <w:r>
        <w:rPr>
          <w:rStyle w:val="12"/>
          <w:rFonts w:cs="Times New Roman"/>
          <w:szCs w:val="28"/>
        </w:rPr>
        <w:t xml:space="preserve">                                                             английского языков.БУХМИ.</w:t>
      </w:r>
    </w:p>
    <w:p w14:paraId="63ABF2A2">
      <w:pPr>
        <w:ind w:firstLine="567"/>
        <w:rPr>
          <w:rStyle w:val="12"/>
          <w:rFonts w:hint="default" w:cs="Times New Roman"/>
          <w:szCs w:val="28"/>
          <w:lang w:val="en-US"/>
        </w:rPr>
      </w:pPr>
      <w:r>
        <w:rPr>
          <w:rStyle w:val="12"/>
          <w:rFonts w:cs="Times New Roman"/>
          <w:szCs w:val="28"/>
        </w:rPr>
        <w:t xml:space="preserve">                                                            </w:t>
      </w:r>
      <w:r>
        <w:rPr>
          <w:rStyle w:val="12"/>
          <w:rFonts w:cs="Times New Roman"/>
          <w:szCs w:val="28"/>
          <w:lang w:val="en-US"/>
        </w:rPr>
        <w:t>E</w:t>
      </w:r>
      <w:r>
        <w:rPr>
          <w:rStyle w:val="12"/>
          <w:rFonts w:cs="Times New Roman"/>
          <w:szCs w:val="28"/>
        </w:rPr>
        <w:t>-</w:t>
      </w:r>
      <w:r>
        <w:rPr>
          <w:rStyle w:val="12"/>
          <w:rFonts w:cs="Times New Roman"/>
          <w:szCs w:val="28"/>
          <w:lang w:val="en-US"/>
        </w:rPr>
        <w:t>mail</w:t>
      </w:r>
      <w:r>
        <w:rPr>
          <w:rStyle w:val="12"/>
          <w:rFonts w:cs="Times New Roman"/>
          <w:szCs w:val="28"/>
        </w:rPr>
        <w:t xml:space="preserve">: </w:t>
      </w:r>
      <w:r>
        <w:rPr>
          <w:rStyle w:val="12"/>
          <w:rFonts w:hint="default" w:cs="Times New Roman"/>
          <w:szCs w:val="28"/>
          <w:lang w:val="en-US"/>
        </w:rPr>
        <w:t>mirzobek.axmadov@bsmi.uz</w:t>
      </w:r>
    </w:p>
    <w:p w14:paraId="03970692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>
        <w:rPr>
          <w:rStyle w:val="12"/>
          <w:rFonts w:cs="Times New Roman"/>
          <w:szCs w:val="28"/>
        </w:rPr>
        <w:t xml:space="preserve">                                                                    </w:t>
      </w:r>
      <w:r>
        <w:rPr>
          <w:rStyle w:val="12"/>
          <w:rFonts w:cs="Times New Roman"/>
          <w:szCs w:val="28"/>
          <w:lang w:val="en-US"/>
        </w:rPr>
        <w:t>Tel</w:t>
      </w:r>
      <w:r>
        <w:rPr>
          <w:rStyle w:val="12"/>
          <w:rFonts w:cs="Times New Roman"/>
          <w:szCs w:val="28"/>
        </w:rPr>
        <w:t xml:space="preserve">: </w:t>
      </w:r>
      <w:r>
        <w:rPr>
          <w:rFonts w:hint="default" w:eastAsia="Times New Roman" w:cs="Times New Roman"/>
          <w:b/>
          <w:bCs/>
          <w:szCs w:val="28"/>
          <w:lang w:val="en-US" w:eastAsia="ru-RU"/>
        </w:rPr>
        <w:t>+998936811121</w:t>
      </w:r>
      <w:bookmarkStart w:id="0" w:name="_GoBack"/>
      <w:bookmarkEnd w:id="0"/>
      <w:r>
        <w:rPr>
          <w:rFonts w:eastAsia="Times New Roman" w:cs="Times New Roman"/>
          <w:b/>
          <w:bCs/>
          <w:szCs w:val="28"/>
          <w:lang w:eastAsia="ru-RU"/>
        </w:rPr>
        <w:t xml:space="preserve">                                             Аннотация</w:t>
      </w:r>
    </w:p>
    <w:p w14:paraId="2F9BEF4C">
      <w:pPr>
        <w:spacing w:after="100" w:afterAutospacing="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Статья посвящена сравнительному анализу использования гендерной лексики в рекламном дискурсе русского и узбекского языков. Реклама, как мощный инструмент формирования и распространения социальных норм, активно использует гендерные стереотипы, что оказывает влияние на восприятие ролей мужчин и женщин в обществе. В статье рассматриваются характерные для обоих языков гендерные стереотипы, их проявления в рекламе и различия в подходах, обусловленные культурными и социальными факторами.</w:t>
      </w:r>
    </w:p>
    <w:p w14:paraId="4FAD790A">
      <w:pPr>
        <w:spacing w:after="100" w:afterAutospacing="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Ключевые слова</w:t>
      </w:r>
      <w:r>
        <w:rPr>
          <w:rFonts w:eastAsia="Times New Roman" w:cs="Times New Roman"/>
          <w:szCs w:val="28"/>
          <w:lang w:eastAsia="ru-RU"/>
        </w:rPr>
        <w:t>: гендерная лексика, реклама, гендерные стереотипы, русский язык, узбекский язык, рекламный дискурс, гендерные роли, социолингвистика, культурные различия, трансформация ролей.</w:t>
      </w:r>
    </w:p>
    <w:p w14:paraId="3C1A678A">
      <w:pPr>
        <w:spacing w:after="100" w:afterAutospacing="1" w:line="240" w:lineRule="auto"/>
        <w:jc w:val="both"/>
        <w:outlineLvl w:val="2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Современные исследования гендерной лексики и её роли в обществе становятся всё более актуальными. Важность анализа гендерных стереотипов в различных сферах человеческой деятельности, в том числе в рекламном дискурсе, не вызывает сомнений, поскольку реклама является одним из важнейших каналов формирования общественного мнения и восприятия ролей мужчин и женщин. Гендерная лексика в рекламе служит инструментом воздействия на потребителей, а её использование в контексте формирования гендерных образов оказывает заметное влияние на культуру и общественные нормы.В последнее время реклама перестала быть просто инструментом продвижения товаров и услуг, став важным культурным и социальным феноменом. Рекламные сообщения формируют идеалы и стереотипы, которые затем могут влиять на представления о «нормальных» ролях мужчин и женщин в обществе. Поэтому, исследование того, как гендерная лексика используется в рекламе, позволяет не только выявить доминирующие стереотипы, но и проанализировать процессы изменения этих стереотипов на фоне социальной эволюции. В данной статье рассматривается гендерная лексика в рекламном дискурсе двух языков — русского и узбекского — с целью выявления общего и специфического в отношении отображения гендерных ролей.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Гендерная лексика охватывает разнообразие языковых средств, которые отражают социальные и культурные нормы, связанные с полом и гендером. Гендер — это не биологическая категория, а социально сконструированная роль, которая варьируется в зависимости от культурных и исторических контекстов. Различие между полом (биологической характеристикой) и гендером (социально обусловленной ролью) является важным для анализа лексики, которая может в той или иной степени отражать ожидания и нормы общества в отношении мужчин и женщин.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 отличие от биологических аспектов, гендерные роли формируются через культурные практики и являются результатом долгосрочного влияния социальных и исторических факторов. Гендерная лексика в рекламе не только отражает текущие представления о «нормальных» ролях для мужчин и женщин, но и способствует закреплению этих стереотипов, создавая определённые образы, которые активно влияют на восприятие зрителей.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>Реклама является не просто инструментом маркетинга, но и мощным культурным механизмом, который формирует и транслирует нормы и стереотипы. В рамках рекламы гендерная лексика служит не только для обозначения потребительской аудитории, но и для активного манипулирования общественными представлениями о мужских и женских ролях. Особенности рекламных текстов и образов не только связаны с товарами, которые они продвигают, но и с теми социальными и культурными конструктами, которые они создают или поддерживают.</w:t>
      </w:r>
    </w:p>
    <w:p w14:paraId="06D67D2F">
      <w:pPr>
        <w:spacing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Таким образом, рекламный дискурс можно рассматривать как социокультурный феномен, который несёт в себе информацию о социальном устройстве, ролях и взаимоотношениях полов. В этом контексте изучение гендерной лексики в рекламе помогает не только понять, как реклама формирует или изменяет эти стереотипы, но и какие социальные и культурные процессы происходят в общественном сознании. Мужчины в русской рекламе часто изображаются как динамичные, уверенные, успешные фигуры, которые не только преуспевают в профессиональной сфере, но и решают жизненные проблемы. Эти образы часто ассоциируются с активными и рисковыми действиями: спортом, автомобилями, карьерным ростом и технологическими инновациями. Лексика, сопровождающая такие рекламные образы, включает в себя такие слова и фразы, как «успех», «лидерство», «инновации», «надежность», «сила», «победа». Стереотипы о мужчинах как о независимых, прагматичных и рациональных существах в рекламе активно поддерживаются и транслируются через рекламные кампании, направленные на мужскую аудиторию. Рекламные сообщения формируют образ мужчины как универсального хозяина своей судьбы, который способен контролировать свою жизнь, что часто подчёркивается через метафоры силы, мужества и интеллектуального превосходства.</w:t>
      </w:r>
    </w:p>
    <w:p w14:paraId="0D15AAD5">
      <w:pPr>
        <w:spacing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     </w:t>
      </w:r>
      <w:r>
        <w:rPr>
          <w:rFonts w:eastAsia="Times New Roman" w:cs="Times New Roman"/>
          <w:szCs w:val="28"/>
          <w:lang w:eastAsia="ru-RU"/>
        </w:rPr>
        <w:t>Образы женщин в рекламе русского языка традиционно связываются с заботой, домашним уютом, красотой и эмоциями. Реклама часто изображает женщин как идеальных матерей, хранительниц домашнего очага или как прекрасных дам, которым важен уход за собой, внешний вид и эмоциональное благополучие. Лексика, используемая для описания женских ролей в рекламе, включает в себя такие слова, как «красота», «забота», «любовь», «семья», «уход». Тем не менее, в последние десятилетия в российской рекламе наблюдается тенденция к изменению этих традиционных стереотипов. Женщины всё чаще изображаются как самостоятельные и успешные личности, которые могут быть лидерами в бизнесе, в профессии, а также активно заниматься спортом и ухаживать за своим здоровьем. Это отражает в том числе изменения в социальной и культурной роли женщин в российском обществе.Несмотря на наличие традиционных гендерных стереотипов, Россия является страной, где процессы социальной эмансипации и изменения гендерных норм активно влияют на рекламный дискурс. Женщины становятся всё более заметными в профессиональных и общественных сферах, что находит отражение в изменениях в рекламных образах. Однако, несмотря на это, традиционные стереотипы по-прежнему доминируют, и только в последние годы в рекламе появляется больше разнообразия в изображении женщин.</w:t>
      </w:r>
    </w:p>
    <w:p w14:paraId="03177EE4">
      <w:pPr>
        <w:spacing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     </w:t>
      </w:r>
      <w:r>
        <w:rPr>
          <w:rFonts w:eastAsia="Times New Roman" w:cs="Times New Roman"/>
          <w:szCs w:val="28"/>
          <w:lang w:eastAsia="ru-RU"/>
        </w:rPr>
        <w:t>В Узбекистане, как и в других странах Центральной Азии, традиционные гендерные роли по-прежнему играют важную роль в общественном сознании. Мужчины изображаются как защитники, кормильцы, профессионалы, успешные предприниматели. В рекламе часто используются такие лексические конструкции, как «сила», «стабильность», «лидерство», «успех», что подчеркивает социальную роль мужчины как человека, который контролирует не только свою жизнь, но и жизни окружающих.Рекламные образы мужчин в узбекском дискурсе также акцентируют внимание на их роли как обеспечителей материального благополучия семьи и успешных членов общества. Меньше места уделяется образам эмоциональной и личной жизни мужчин, что является отличием от западных рекламных тенденций.      Основной общей чертой в гендерной лексике рекламы русского и узбекского языков является использование традиционных стереотипов, связанных с полом. Мужчины ассоциируются с силой, лидерством и профессиональной успешностью, в то время как женщины изображаются как заботливые, красивые и ориентированные на семейные ценности личности. Эти стереотипы являются важными не только для рекламы, но и для общественного восприятия ролей мужчин и женщин в социальной структуре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Глобализация и процессы социальных изменений играют важную роль в трансформации гендерных стереотипов в обеих странах. Россия более активно принимает идеи гендерного равенства и изменения традиционных ролей, что находит отражение в рекламном контексте. В Узбекистане изменения происходят медленнее, но также наблюдается постепенное расширение ролей женщин в общественной и профессиональной жизни.</w:t>
      </w:r>
    </w:p>
    <w:p w14:paraId="17FFE2E0">
      <w:pPr>
        <w:spacing w:after="100" w:afterAutospacing="1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В русском и узбекском языках существуют как общие черты в изображении гендерных ролей, так и различия, обусловленные социальными и культурными особенностями. Важно отметить, что в обеих странах процесс изменения традиционных гендерных стереотипов всё ещё продолжается, что отражает изменения в общественном сознании и культуре.</w:t>
      </w:r>
    </w:p>
    <w:p w14:paraId="5B15315A">
      <w:pPr>
        <w:pStyle w:val="9"/>
        <w:spacing w:before="0" w:beforeAutospacing="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>Использованные литературы</w:t>
      </w:r>
    </w:p>
    <w:p w14:paraId="3AEC000B">
      <w:pPr>
        <w:pStyle w:val="9"/>
        <w:numPr>
          <w:ilvl w:val="0"/>
          <w:numId w:val="1"/>
        </w:numPr>
        <w:spacing w:before="0" w:beforeAutospacing="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>Барковская, Е. В.</w:t>
      </w:r>
      <w:r>
        <w:rPr>
          <w:sz w:val="28"/>
          <w:szCs w:val="28"/>
        </w:rPr>
        <w:t xml:space="preserve"> (2018). </w:t>
      </w:r>
      <w:r>
        <w:rPr>
          <w:rStyle w:val="6"/>
          <w:sz w:val="28"/>
          <w:szCs w:val="28"/>
        </w:rPr>
        <w:t>Гендерные стереотипы в рекламном дискурсе: анализ языковых средств</w:t>
      </w:r>
      <w:r>
        <w:rPr>
          <w:sz w:val="28"/>
          <w:szCs w:val="28"/>
        </w:rPr>
        <w:t>. Москва: Издательство «Лингвистика».</w:t>
      </w:r>
    </w:p>
    <w:p w14:paraId="68305E44">
      <w:pPr>
        <w:pStyle w:val="9"/>
        <w:numPr>
          <w:ilvl w:val="0"/>
          <w:numId w:val="1"/>
        </w:numPr>
        <w:spacing w:before="0" w:beforeAutospacing="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>Бахтин, М. М.</w:t>
      </w:r>
      <w:r>
        <w:rPr>
          <w:sz w:val="28"/>
          <w:szCs w:val="28"/>
        </w:rPr>
        <w:t xml:space="preserve"> (1996). </w:t>
      </w:r>
      <w:r>
        <w:rPr>
          <w:rStyle w:val="6"/>
          <w:sz w:val="28"/>
          <w:szCs w:val="28"/>
        </w:rPr>
        <w:t>Теория речи и коммуникативный дискурс</w:t>
      </w:r>
      <w:r>
        <w:rPr>
          <w:sz w:val="28"/>
          <w:szCs w:val="28"/>
        </w:rPr>
        <w:t>. Санкт-Петербург: Издательство «Речь».</w:t>
      </w:r>
    </w:p>
    <w:p w14:paraId="7D8A8AF4">
      <w:pPr>
        <w:pStyle w:val="9"/>
        <w:numPr>
          <w:ilvl w:val="0"/>
          <w:numId w:val="1"/>
        </w:numPr>
        <w:spacing w:before="0" w:beforeAutospacing="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>Воронцова, И. А.</w:t>
      </w:r>
      <w:r>
        <w:rPr>
          <w:sz w:val="28"/>
          <w:szCs w:val="28"/>
        </w:rPr>
        <w:t xml:space="preserve"> (2015). </w:t>
      </w:r>
      <w:r>
        <w:rPr>
          <w:rStyle w:val="6"/>
          <w:sz w:val="28"/>
          <w:szCs w:val="28"/>
        </w:rPr>
        <w:t>Социолингвистический аспект гендерной лексики в рекламном дискурсе</w:t>
      </w:r>
      <w:r>
        <w:rPr>
          <w:sz w:val="28"/>
          <w:szCs w:val="28"/>
        </w:rPr>
        <w:t>. Москва: Издательство «Наука».</w:t>
      </w:r>
    </w:p>
    <w:p w14:paraId="7884749E">
      <w:pPr>
        <w:pStyle w:val="9"/>
        <w:numPr>
          <w:ilvl w:val="0"/>
          <w:numId w:val="1"/>
        </w:numPr>
        <w:spacing w:before="0" w:beforeAutospacing="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>Герцен, А. И.</w:t>
      </w:r>
      <w:r>
        <w:rPr>
          <w:sz w:val="28"/>
          <w:szCs w:val="28"/>
        </w:rPr>
        <w:t xml:space="preserve"> (2001). </w:t>
      </w:r>
      <w:r>
        <w:rPr>
          <w:rStyle w:val="6"/>
          <w:sz w:val="28"/>
          <w:szCs w:val="28"/>
        </w:rPr>
        <w:t>Теория рекламы как социального явления</w:t>
      </w:r>
      <w:r>
        <w:rPr>
          <w:sz w:val="28"/>
          <w:szCs w:val="28"/>
        </w:rPr>
        <w:t>. Санкт-Петербург: Издательство «Петербургская наука».</w:t>
      </w:r>
    </w:p>
    <w:p w14:paraId="21E3DCF9">
      <w:pPr>
        <w:pStyle w:val="9"/>
        <w:numPr>
          <w:ilvl w:val="0"/>
          <w:numId w:val="1"/>
        </w:numPr>
        <w:spacing w:before="0" w:beforeAutospacing="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>Жилина, Л. В.</w:t>
      </w:r>
      <w:r>
        <w:rPr>
          <w:sz w:val="28"/>
          <w:szCs w:val="28"/>
        </w:rPr>
        <w:t xml:space="preserve"> (2017). </w:t>
      </w:r>
      <w:r>
        <w:rPr>
          <w:rStyle w:val="6"/>
          <w:sz w:val="28"/>
          <w:szCs w:val="28"/>
        </w:rPr>
        <w:t>Гендерная лексика в языке рекламы: Теоретический и прикладной аспекты</w:t>
      </w:r>
      <w:r>
        <w:rPr>
          <w:sz w:val="28"/>
          <w:szCs w:val="28"/>
        </w:rPr>
        <w:t>. Екатеринбург: Издательство Уральского университета.</w:t>
      </w:r>
    </w:p>
    <w:p w14:paraId="30F6B562">
      <w:pPr>
        <w:pStyle w:val="9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Bozorov Z.A International scientific and practical conference “Modern psychology and pedagogy: problems and solutions” “Imperial College London” 2021–2022. 165–169 </w:t>
      </w:r>
      <w:r>
        <w:rPr>
          <w:sz w:val="28"/>
          <w:szCs w:val="28"/>
        </w:rPr>
        <w:t>б</w:t>
      </w:r>
      <w:r>
        <w:rPr>
          <w:sz w:val="28"/>
          <w:szCs w:val="28"/>
          <w:lang w:val="en-US"/>
        </w:rPr>
        <w:t>.</w:t>
      </w:r>
    </w:p>
    <w:p w14:paraId="2220C337">
      <w:pPr>
        <w:pStyle w:val="9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Bozorov Z.A. Essence, structure and functions of civil culture. International engineering journal for research &amp; development. Published in Volume 6 Special Issue , January 2021 of IEJRD E–ISSN: 2349–0721 , Peer Reviewed &amp; Referred Journal.</w:t>
      </w:r>
    </w:p>
    <w:p w14:paraId="0C30DB5C">
      <w:pPr>
        <w:ind w:firstLine="426"/>
        <w:jc w:val="both"/>
        <w:rPr>
          <w:szCs w:val="28"/>
        </w:rPr>
      </w:pPr>
      <w:r>
        <w:rPr>
          <w:szCs w:val="28"/>
          <w:lang w:val="en-US"/>
        </w:rPr>
        <w:t>8. Bozorova G. FORMATION OF ABBREVIATIONS IN MEDICAL TERMINOLOGY IN UZBEK LANGUAGE //</w:t>
      </w:r>
      <w:r>
        <w:rPr>
          <w:szCs w:val="28"/>
        </w:rPr>
        <w:t>Центральноазиатский</w:t>
      </w:r>
      <w:r>
        <w:rPr>
          <w:szCs w:val="28"/>
          <w:lang w:val="en-US"/>
        </w:rPr>
        <w:t xml:space="preserve"> </w:t>
      </w:r>
      <w:r>
        <w:rPr>
          <w:szCs w:val="28"/>
        </w:rPr>
        <w:t>журнал</w:t>
      </w:r>
      <w:r>
        <w:rPr>
          <w:szCs w:val="28"/>
          <w:lang w:val="en-US"/>
        </w:rPr>
        <w:t xml:space="preserve"> </w:t>
      </w:r>
      <w:r>
        <w:rPr>
          <w:szCs w:val="28"/>
        </w:rPr>
        <w:t>образования</w:t>
      </w:r>
      <w:r>
        <w:rPr>
          <w:szCs w:val="28"/>
          <w:lang w:val="en-US"/>
        </w:rPr>
        <w:t xml:space="preserve"> </w:t>
      </w:r>
      <w:r>
        <w:rPr>
          <w:szCs w:val="28"/>
        </w:rPr>
        <w:t>и</w:t>
      </w:r>
      <w:r>
        <w:rPr>
          <w:szCs w:val="28"/>
          <w:lang w:val="en-US"/>
        </w:rPr>
        <w:t xml:space="preserve"> </w:t>
      </w:r>
      <w:r>
        <w:rPr>
          <w:szCs w:val="28"/>
        </w:rPr>
        <w:t>инноваций</w:t>
      </w:r>
      <w:r>
        <w:rPr>
          <w:szCs w:val="28"/>
          <w:lang w:val="en-US"/>
        </w:rPr>
        <w:t xml:space="preserve">. – 2024. – </w:t>
      </w:r>
      <w:r>
        <w:rPr>
          <w:szCs w:val="28"/>
        </w:rPr>
        <w:t>Т</w:t>
      </w:r>
      <w:r>
        <w:rPr>
          <w:szCs w:val="28"/>
          <w:lang w:val="en-US"/>
        </w:rPr>
        <w:t xml:space="preserve">. 3. – №. </w:t>
      </w:r>
      <w:r>
        <w:rPr>
          <w:szCs w:val="28"/>
        </w:rPr>
        <w:t>3. – С. 86–89.</w:t>
      </w:r>
    </w:p>
    <w:p w14:paraId="0B380C66">
      <w:pPr>
        <w:ind w:firstLine="426"/>
        <w:jc w:val="both"/>
        <w:rPr>
          <w:szCs w:val="28"/>
        </w:rPr>
      </w:pPr>
      <w:r>
        <w:rPr>
          <w:szCs w:val="28"/>
        </w:rPr>
        <w:t xml:space="preserve">9. Bozorova, G. (2023). ЛИНГВОПРАГМАТИЧЕСКАЯ ХАРАКТЕРИСТИКА ПЛЕОНАСТИЧЕСКИХ ЕДИНИЦ ИСПОЛЬЗУЕМЫХ В ПОЛИТИЧЕСКОЙ РЕЧИ. Центр Научных Публикаций (buxdu.Uz), 34(34). извлечено от </w:t>
      </w:r>
      <w:r>
        <w:fldChar w:fldCharType="begin"/>
      </w:r>
      <w:r>
        <w:instrText xml:space="preserve"> HYPERLINK "https://journal.buxdu.uz/index.php/journals_buxdu/article/view/9752" </w:instrText>
      </w:r>
      <w:r>
        <w:fldChar w:fldCharType="separate"/>
      </w:r>
      <w:r>
        <w:rPr>
          <w:rStyle w:val="7"/>
          <w:szCs w:val="28"/>
        </w:rPr>
        <w:t>https://journal.buxdu.uz/index.php/journals_buxdu/article/view/9752</w:t>
      </w:r>
      <w:r>
        <w:rPr>
          <w:rStyle w:val="7"/>
          <w:szCs w:val="28"/>
        </w:rPr>
        <w:fldChar w:fldCharType="end"/>
      </w:r>
    </w:p>
    <w:p w14:paraId="0E9908E6">
      <w:pPr>
        <w:ind w:firstLine="426"/>
        <w:jc w:val="both"/>
        <w:rPr>
          <w:color w:val="222222"/>
          <w:szCs w:val="28"/>
          <w:shd w:val="clear" w:color="auto" w:fill="FFFFFF"/>
          <w:lang w:val="en-US"/>
        </w:rPr>
      </w:pPr>
      <w:r>
        <w:rPr>
          <w:szCs w:val="28"/>
          <w:lang w:val="en-US"/>
        </w:rPr>
        <w:t xml:space="preserve">10. </w:t>
      </w:r>
      <w:r>
        <w:rPr>
          <w:color w:val="222222"/>
          <w:szCs w:val="28"/>
          <w:shd w:val="clear" w:color="auto" w:fill="FFFFFF"/>
          <w:lang w:val="en-US"/>
        </w:rPr>
        <w:t>Samandarova G. Y. Fundamentals of folk proverbs formed on the basis of the lexical–spiritual group of insects. Current research journal of philological sciences, 2 (05), 39–42. – 2021.</w:t>
      </w:r>
    </w:p>
    <w:p w14:paraId="448F7942">
      <w:pPr>
        <w:ind w:firstLine="426"/>
        <w:jc w:val="both"/>
        <w:rPr>
          <w:rStyle w:val="7"/>
          <w:szCs w:val="28"/>
          <w:lang w:val="en-US"/>
        </w:rPr>
      </w:pPr>
      <w:r>
        <w:rPr>
          <w:color w:val="222222"/>
          <w:szCs w:val="28"/>
          <w:shd w:val="clear" w:color="auto" w:fill="FFFFFF"/>
          <w:lang w:val="en-US"/>
        </w:rPr>
        <w:t>11.</w:t>
      </w:r>
      <w:r>
        <w:rPr>
          <w:szCs w:val="28"/>
          <w:shd w:val="clear" w:color="auto" w:fill="FFFFFF"/>
          <w:lang w:val="en-US"/>
        </w:rPr>
        <w:t>Samandarova , G. Y. (2023). BASIS OF THE LEXICAL SENTENCE GROUP "INSECT" IN THE FORM OF A COMPOUND SENTENCE. </w:t>
      </w:r>
      <w:r>
        <w:rPr>
          <w:i/>
          <w:iCs/>
          <w:szCs w:val="28"/>
          <w:shd w:val="clear" w:color="auto" w:fill="FFFFFF"/>
          <w:lang w:val="en-US"/>
        </w:rPr>
        <w:t>INTERNATIONAL SCIENTIFIC CONFERENCE " INNOVATIVE TRENDS IN SCIENCE, PRACTICE AND EDUCATION"</w:t>
      </w:r>
      <w:r>
        <w:rPr>
          <w:szCs w:val="28"/>
          <w:shd w:val="clear" w:color="auto" w:fill="FFFFFF"/>
          <w:lang w:val="en-US"/>
        </w:rPr>
        <w:t>, </w:t>
      </w:r>
      <w:r>
        <w:rPr>
          <w:i/>
          <w:iCs/>
          <w:szCs w:val="28"/>
          <w:shd w:val="clear" w:color="auto" w:fill="FFFFFF"/>
          <w:lang w:val="en-US"/>
        </w:rPr>
        <w:t>2</w:t>
      </w:r>
      <w:r>
        <w:rPr>
          <w:szCs w:val="28"/>
          <w:shd w:val="clear" w:color="auto" w:fill="FFFFFF"/>
          <w:lang w:val="en-US"/>
        </w:rPr>
        <w:t xml:space="preserve">(4), 59–67. Retrieved from </w:t>
      </w:r>
      <w:r>
        <w:fldChar w:fldCharType="begin"/>
      </w:r>
      <w:r>
        <w:instrText xml:space="preserve"> HYPERLINK "http://academicsresearch.ru/index.php/iscitspe/article/view/1493" </w:instrText>
      </w:r>
      <w:r>
        <w:fldChar w:fldCharType="separate"/>
      </w:r>
      <w:r>
        <w:rPr>
          <w:rStyle w:val="7"/>
          <w:szCs w:val="28"/>
          <w:shd w:val="clear" w:color="auto" w:fill="FFFFFF"/>
          <w:lang w:val="en-US"/>
        </w:rPr>
        <w:t>http://academicsresearch.ru/index.php/iscitspe/article/view/1493</w:t>
      </w:r>
      <w:r>
        <w:rPr>
          <w:rStyle w:val="7"/>
          <w:szCs w:val="28"/>
          <w:shd w:val="clear" w:color="auto" w:fill="FFFFFF"/>
          <w:lang w:val="en-US"/>
        </w:rPr>
        <w:fldChar w:fldCharType="end"/>
      </w:r>
    </w:p>
    <w:p w14:paraId="01853422">
      <w:pPr>
        <w:ind w:firstLine="426"/>
        <w:jc w:val="both"/>
        <w:rPr>
          <w:color w:val="222222"/>
          <w:szCs w:val="28"/>
          <w:lang w:val="en-US"/>
        </w:rPr>
      </w:pPr>
      <w:r>
        <w:rPr>
          <w:rStyle w:val="7"/>
          <w:szCs w:val="28"/>
          <w:shd w:val="clear" w:color="auto" w:fill="FFFFFF"/>
          <w:lang w:val="en-US"/>
        </w:rPr>
        <w:t xml:space="preserve">12. </w:t>
      </w:r>
      <w:r>
        <w:rPr>
          <w:color w:val="222222"/>
          <w:szCs w:val="28"/>
          <w:shd w:val="clear" w:color="auto" w:fill="FFFFFF"/>
          <w:lang w:val="en-US"/>
        </w:rPr>
        <w:t>Bozorov  Z. A. "Exceptional role of motives and needs within the formation process of civic culture in students’ community." </w:t>
      </w:r>
      <w:r>
        <w:rPr>
          <w:i/>
          <w:iCs/>
          <w:color w:val="222222"/>
          <w:szCs w:val="28"/>
          <w:shd w:val="clear" w:color="auto" w:fill="FFFFFF"/>
          <w:lang w:val="en-US"/>
        </w:rPr>
        <w:t>Journal of Advanced Zoology</w:t>
      </w:r>
      <w:r>
        <w:rPr>
          <w:color w:val="222222"/>
          <w:szCs w:val="28"/>
          <w:shd w:val="clear" w:color="auto" w:fill="FFFFFF"/>
          <w:lang w:val="en-US"/>
        </w:rPr>
        <w:t xml:space="preserve"> 44 (2023): 3236–3244. </w:t>
      </w:r>
      <w:r>
        <w:fldChar w:fldCharType="begin"/>
      </w:r>
      <w:r>
        <w:instrText xml:space="preserve"> HYPERLINK "https://jazindia.com/index.php/jaz/article/view/1595" </w:instrText>
      </w:r>
      <w:r>
        <w:fldChar w:fldCharType="separate"/>
      </w:r>
      <w:r>
        <w:rPr>
          <w:rStyle w:val="7"/>
          <w:szCs w:val="28"/>
          <w:shd w:val="clear" w:color="auto" w:fill="FFFFFF"/>
          <w:lang w:val="en-US"/>
        </w:rPr>
        <w:t>https://jazindia.com/index.php/jaz/article/view/1595</w:t>
      </w:r>
      <w:r>
        <w:rPr>
          <w:rStyle w:val="7"/>
          <w:szCs w:val="28"/>
          <w:shd w:val="clear" w:color="auto" w:fill="FFFFFF"/>
          <w:lang w:val="en-US"/>
        </w:rPr>
        <w:fldChar w:fldCharType="end"/>
      </w:r>
    </w:p>
    <w:p w14:paraId="20CBE7D6">
      <w:pPr>
        <w:ind w:firstLine="426"/>
        <w:jc w:val="both"/>
        <w:rPr>
          <w:color w:val="222222"/>
          <w:szCs w:val="28"/>
          <w:shd w:val="clear" w:color="auto" w:fill="FFFFFF"/>
          <w:lang w:val="uz-Latn-UZ"/>
        </w:rPr>
      </w:pPr>
      <w:r>
        <w:rPr>
          <w:color w:val="222222"/>
          <w:szCs w:val="28"/>
          <w:shd w:val="clear" w:color="auto" w:fill="FFFFFF"/>
          <w:lang w:val="en-US"/>
        </w:rPr>
        <w:t>13. Ashurovich, Bozorov Zayniddin. "Great Oriental Intellectuals about Civil Culture." </w:t>
      </w:r>
      <w:r>
        <w:rPr>
          <w:i/>
          <w:iCs/>
          <w:color w:val="222222"/>
          <w:szCs w:val="28"/>
          <w:shd w:val="clear" w:color="auto" w:fill="FFFFFF"/>
          <w:lang w:val="en-US"/>
        </w:rPr>
        <w:t>Web of Scholars: Multidimensional Research Journal</w:t>
      </w:r>
      <w:r>
        <w:rPr>
          <w:color w:val="222222"/>
          <w:szCs w:val="28"/>
          <w:shd w:val="clear" w:color="auto" w:fill="FFFFFF"/>
          <w:lang w:val="en-US"/>
        </w:rPr>
        <w:t> 2 (2023): 21–24.</w:t>
      </w:r>
      <w:r>
        <w:rPr>
          <w:color w:val="222222"/>
          <w:szCs w:val="28"/>
          <w:shd w:val="clear" w:color="auto" w:fill="FFFFFF"/>
          <w:lang w:val="uz-Latn-UZ"/>
        </w:rPr>
        <w:t xml:space="preserve"> </w:t>
      </w:r>
      <w:r>
        <w:fldChar w:fldCharType="begin"/>
      </w:r>
      <w:r>
        <w:instrText xml:space="preserve"> HYPERLINK "https://innosci.org/wos/article/view/968" </w:instrText>
      </w:r>
      <w:r>
        <w:fldChar w:fldCharType="separate"/>
      </w:r>
      <w:r>
        <w:rPr>
          <w:rStyle w:val="7"/>
          <w:szCs w:val="28"/>
          <w:shd w:val="clear" w:color="auto" w:fill="FFFFFF"/>
          <w:lang w:val="uz-Latn-UZ"/>
        </w:rPr>
        <w:t>https://innosci.org/wos/article/view/968</w:t>
      </w:r>
      <w:r>
        <w:rPr>
          <w:rStyle w:val="7"/>
          <w:szCs w:val="28"/>
          <w:shd w:val="clear" w:color="auto" w:fill="FFFFFF"/>
          <w:lang w:val="uz-Latn-UZ"/>
        </w:rPr>
        <w:fldChar w:fldCharType="end"/>
      </w:r>
    </w:p>
    <w:p w14:paraId="29BFDD75">
      <w:pPr>
        <w:pStyle w:val="9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253B3468">
      <w:pPr>
        <w:jc w:val="both"/>
        <w:rPr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913752"/>
    <w:multiLevelType w:val="multilevel"/>
    <w:tmpl w:val="4F91375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DD"/>
    <w:rsid w:val="000E4554"/>
    <w:rsid w:val="001A0899"/>
    <w:rsid w:val="004821F2"/>
    <w:rsid w:val="00596281"/>
    <w:rsid w:val="0060658D"/>
    <w:rsid w:val="00647E56"/>
    <w:rsid w:val="007A46DD"/>
    <w:rsid w:val="007C03DE"/>
    <w:rsid w:val="00A65777"/>
    <w:rsid w:val="00DD0F1F"/>
    <w:rsid w:val="00E84B7B"/>
    <w:rsid w:val="00F70CDA"/>
    <w:rsid w:val="0E4D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paragraph" w:styleId="2">
    <w:name w:val="heading 3"/>
    <w:basedOn w:val="1"/>
    <w:link w:val="10"/>
    <w:qFormat/>
    <w:uiPriority w:val="9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3">
    <w:name w:val="heading 4"/>
    <w:basedOn w:val="1"/>
    <w:link w:val="11"/>
    <w:qFormat/>
    <w:uiPriority w:val="9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semiHidden/>
    <w:unhideWhenUsed/>
    <w:qFormat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3 Знак"/>
    <w:basedOn w:val="4"/>
    <w:link w:val="2"/>
    <w:uiPriority w:val="9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11">
    <w:name w:val="Заголовок 4 Знак"/>
    <w:basedOn w:val="4"/>
    <w:link w:val="3"/>
    <w:qFormat/>
    <w:uiPriority w:val="9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12">
    <w:name w:val="ezkurwreuab5ozgtqnkl"/>
    <w:qFormat/>
    <w:uiPriority w:val="0"/>
  </w:style>
  <w:style w:type="character" w:customStyle="1" w:styleId="13">
    <w:name w:val="tr-popup__valu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1666</Words>
  <Characters>9498</Characters>
  <Lines>79</Lines>
  <Paragraphs>22</Paragraphs>
  <TotalTime>60</TotalTime>
  <ScaleCrop>false</ScaleCrop>
  <LinksUpToDate>false</LinksUpToDate>
  <CharactersWithSpaces>11142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2025-04-02T16:19:00Z</dcterms:created>
  <dc:creator>Пользователь</dc:creator>
  <cp:lastModifiedBy>user</cp:lastModifiedBy>
  <dcterms:modified xsi:type="dcterms:W3CDTF">2025-04-24T03:15:47Z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873B47F39A484ADE81C35D2112ADD2CE_12</vt:lpwstr>
  </property>
</Properties>
</file>