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5" w:rsidRPr="00555F25" w:rsidRDefault="00555F25" w:rsidP="00555F25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r w:rsidRPr="00555F25"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  <w:t>Статья на тему: "Художественное конструирование"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творческой личности является одной из важных задач педагогической теории и практики на современном этапе. Наиболее эффективно начинать ее формирование и развитие в дошкольном возрасте.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Художественное конструирование</w:t>
      </w: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деятельность охватывает большой круг разнообразных образовательных, развивающих и воспитательных задач: от развития у детей моторики и накопления сенсорного опыта до формирования достаточно сложных мыслительных действий и речевого развития, творческого воображения, художественного развития и механизмов управления поведением ребенка.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</w:t>
      </w: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 детей художественному конструированию является способствование развитию творческих способностей детей через художественное конструирование.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данной цели формируются следующие </w:t>
      </w:r>
      <w:r w:rsidRPr="0053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Создать условия для развития и реализации творческих способностей каждого ребенка.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творческий потенциал дошкольников средствами художественного конструирования.</w:t>
      </w:r>
    </w:p>
    <w:p w:rsidR="00530F82" w:rsidRPr="00530F82" w:rsidRDefault="00530F82" w:rsidP="00530F8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Формировать у детей знания, умения и навыки художественно-конструктивной деятельности.</w:t>
      </w:r>
    </w:p>
    <w:p w:rsidR="00753E59" w:rsidRPr="00555F25" w:rsidRDefault="00530F82" w:rsidP="00555F25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Стимулировать сотворчество детей со сверстниками и взрослыми в конструктивной деятельности.</w:t>
      </w:r>
      <w:bookmarkStart w:id="0" w:name="_GoBack"/>
      <w:bookmarkEnd w:id="0"/>
    </w:p>
    <w:p w:rsidR="00530F82" w:rsidRPr="00530F82" w:rsidRDefault="00530F82" w:rsidP="00E025BA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E025BA" w:rsidRPr="00530F82" w:rsidRDefault="00E025BA" w:rsidP="00E025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Термин «конструирование» произошел от лат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лова  </w:t>
      </w:r>
      <w:proofErr w:type="spellStart"/>
      <w:r w:rsidRPr="00530F82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consfruere</w:t>
      </w:r>
      <w:proofErr w:type="spell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, что означает построение, создание модели, приведение в определенный порядок и взаимоотношение различных отдельных предметов, частей, элементов.</w:t>
      </w:r>
    </w:p>
    <w:p w:rsidR="00E025BA" w:rsidRPr="00530F82" w:rsidRDefault="00E025BA" w:rsidP="00E025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Под</w:t>
      </w:r>
      <w:proofErr w:type="gram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детских</w:t>
      </w:r>
      <w:proofErr w:type="gram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конструированием понимается процесс создания разнообразных конструкций из строительного материала, сборка разных видов моделей из деталей конструктора, изготовление из бумаги, картона, дерева и других материалов. Конструирование является продуктивной деятельностью, отвечающей интересам и потребностям дошкольников.</w:t>
      </w:r>
    </w:p>
    <w:p w:rsidR="00E025BA" w:rsidRPr="00530F82" w:rsidRDefault="00E025BA" w:rsidP="00E025B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530F8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Главная цель конструирования </w:t>
      </w: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– развитие мышления, формирование нравственных качеств, воспитание эстетических чувств.</w:t>
      </w:r>
    </w:p>
    <w:p w:rsidR="00753E59" w:rsidRPr="00530F82" w:rsidRDefault="00753E59" w:rsidP="00E025B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53E59" w:rsidRPr="00530F82" w:rsidRDefault="00753E59" w:rsidP="00753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0F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Конструирование из бумаги – один из наиболее распространенных в отечественной практике видов конструирования, поскольку оно отличается простотой в организации занятий. Однако такое конструирование является сложным для дошкольников, потому что оно требует наличия хорошо развитых пространственных представлений  - умения увидеть в плоскостной форме объемную поделку.  Так как дети – дошкольники самостоятельно этим не владеют, методика, как правило</w:t>
      </w:r>
      <w:proofErr w:type="gramStart"/>
      <w:r w:rsidRPr="00530F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530F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предусматривает подробное объяснение и показ всего процесса конструирования игрушки.</w:t>
      </w:r>
    </w:p>
    <w:p w:rsidR="00753E59" w:rsidRPr="00530F82" w:rsidRDefault="00753E59" w:rsidP="00E025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025BA" w:rsidRPr="00530F82" w:rsidRDefault="00E025BA" w:rsidP="00E025B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530F82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Бумага </w:t>
      </w: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– доступный для ребёнка и универсальный материал – широко применяется не только в рисовании, аппликации, но и в художественном конструировании. Особенно привлекает дошкольников возможность самим создать такие поделки из бумаги, которые затем будут использованы в играх, инсценировках, оформлении уголка, участка детского сада или подарены на день рождения, к празднику своим родителям, воспитателям, друзьям. Ребёнок радуется тому, что созданная собственными руками игрушка действует: вертушка вертится на ветру, кораблик плавает, самолётик, змей взлетают ввысь и т. д. </w:t>
      </w:r>
    </w:p>
    <w:p w:rsidR="00753E59" w:rsidRPr="00530F82" w:rsidRDefault="00753E59" w:rsidP="00E025B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753E59" w:rsidRPr="00530F82" w:rsidRDefault="00753E59" w:rsidP="00E025B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Основными задачами конструирования в этой группе являются:</w:t>
      </w:r>
    </w:p>
    <w:p w:rsidR="00753E59" w:rsidRPr="00530F82" w:rsidRDefault="00753E59" w:rsidP="00E025B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53E59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Формирование представлений детей о новом конструкторском материале – бумаге: ее вида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х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End"/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гофрированная, ватман, писчая, картон)</w:t>
      </w: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и свойствах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(бумагу можно сминать, разрывать, скручивать, разрезать, складывать)</w:t>
      </w: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753E59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Воспитание интереса к бумаге, желание работать с ней;</w:t>
      </w:r>
    </w:p>
    <w:p w:rsidR="00753E59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Ознакомление с простыми способами конструирования техники оригами – складывание квадрата пополам с совмещением противоположных сторон и углов;</w:t>
      </w:r>
    </w:p>
    <w:p w:rsidR="00607748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Формирование начальных представлений о многофункциональности способов конструировани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End"/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одним и тем же способом можно получить разные игрушки)</w:t>
      </w:r>
    </w:p>
    <w:p w:rsidR="00753E59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Ознакомление с элементарными вспомогательными средствами создания поделок на основе общего способа: дополнение к геометрической фигуре, полученной в результате выполнения способа, деталей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End"/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обрезков бумаги разной формы, величины, цвета)</w:t>
      </w: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соединение элементов полученной фигуры между собой;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(например если склеивать боковые стороны прямоугольника, полученного из квадрата,  сложенного пополам, то получится конверт)</w:t>
      </w:r>
    </w:p>
    <w:p w:rsidR="00753E59" w:rsidRPr="00530F82" w:rsidRDefault="00753E59" w:rsidP="00753E59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Формирование умения, на основе анализа незнакомых поделок, выделять знакомый способ конструирования и переносить его в новые условия</w:t>
      </w: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proofErr w:type="gramEnd"/>
      <w:r w:rsidR="00607748" w:rsidRPr="00530F82">
        <w:rPr>
          <w:rFonts w:eastAsiaTheme="minorEastAsia"/>
          <w:color w:val="000000" w:themeColor="text1"/>
          <w:kern w:val="24"/>
          <w:sz w:val="28"/>
          <w:szCs w:val="28"/>
        </w:rPr>
        <w:t>т.е самостоятельно выполнять эти поделки)</w:t>
      </w:r>
    </w:p>
    <w:p w:rsidR="00607748" w:rsidRPr="00530F82" w:rsidRDefault="00607748" w:rsidP="00607748">
      <w:pPr>
        <w:pStyle w:val="a4"/>
        <w:rPr>
          <w:rFonts w:eastAsiaTheme="minorEastAsia"/>
          <w:color w:val="000000" w:themeColor="text1"/>
          <w:kern w:val="24"/>
          <w:sz w:val="28"/>
          <w:szCs w:val="28"/>
        </w:rPr>
      </w:pPr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Решение этих задач осуществляется как в процессе организованной деятельности, так и в свободной деятельности детей.</w:t>
      </w:r>
    </w:p>
    <w:p w:rsidR="00607748" w:rsidRPr="00530F82" w:rsidRDefault="00607748" w:rsidP="00607748">
      <w:pPr>
        <w:pStyle w:val="a4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>Поделюсь опытом как же происходит</w:t>
      </w:r>
      <w:proofErr w:type="gramEnd"/>
      <w:r w:rsidRPr="00530F82">
        <w:rPr>
          <w:rFonts w:eastAsiaTheme="minorEastAsia"/>
          <w:color w:val="000000" w:themeColor="text1"/>
          <w:kern w:val="24"/>
          <w:sz w:val="28"/>
          <w:szCs w:val="28"/>
        </w:rPr>
        <w:t xml:space="preserve"> обучение детей на занятиях.</w:t>
      </w:r>
    </w:p>
    <w:p w:rsidR="00607748" w:rsidRPr="00530F82" w:rsidRDefault="00607748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Обучение на занятиях в средней группе происходит в два этапа: </w:t>
      </w:r>
    </w:p>
    <w:p w:rsidR="00607748" w:rsidRPr="00530F82" w:rsidRDefault="00590456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первом занятии познакомились с бумагой. С разными ее видами и свойствами: тонкой – </w:t>
      </w:r>
      <w:proofErr w:type="spell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гафрированной</w:t>
      </w:r>
      <w:proofErr w:type="spell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средней плотности – писчей, плотной – картон. И предложила 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поиграть с ней порвать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ее, смять, порезать, сложить. Провели эксперимент «Какая бумага намокнет быстрее» и сделали вывод: Что одна бумага намокает быстро, лег</w:t>
      </w:r>
      <w:r w:rsidR="00A4280D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о мнется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58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4558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режется и склеивается, а другая более прочная, долго намокает и с трудом поддается деформации.</w:t>
      </w:r>
    </w:p>
    <w:p w:rsidR="00A45583" w:rsidRPr="00530F82" w:rsidRDefault="00A45583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Делее</w:t>
      </w:r>
      <w:proofErr w:type="spell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освоили два способа конструирования – складывание квадрата по диагонали, складывание квадрата пополам с совмещением противоположных углов и сторон.</w:t>
      </w:r>
    </w:p>
    <w:p w:rsidR="00C70A29" w:rsidRPr="00530F82" w:rsidRDefault="00C70A29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Использовала игровую ситуацию «К кому квадрат попадет в гости». Для разыгрывания ситуации на доску вывесила домики прямоугольной 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сделанные способом складывания </w:t>
      </w:r>
      <w:r w:rsidR="007C32F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ополам с совмещением противоположных </w:t>
      </w:r>
      <w:r w:rsidR="007C32F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и углов и домик треугольной формы сделанный способом складывания квадрата по диагонали. Суть этой ситуации заключается в том, что квадрату нужно пойти по тропинке </w:t>
      </w:r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и попасть в гости либо к треугольному домику, либо к прямоугольному домику. А для этого необходимо сложить квадрат соединяя верхний и нижний углы ( т</w:t>
      </w:r>
      <w:proofErr w:type="gramStart"/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диагонали)</w:t>
      </w:r>
      <w:r w:rsidR="00824BD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в первом случае</w:t>
      </w:r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, а во втором соединяя противоположные углы и стороны квадрата между собой (т.е способом складывания квадрата с совмещением противоположных сторон и</w:t>
      </w:r>
      <w:r w:rsidR="00824BD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глов). При этом не только нужно показать детям как получить способ</w:t>
      </w:r>
      <w:proofErr w:type="gramStart"/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845AB0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подробно рассказать об этом.</w:t>
      </w:r>
      <w:r w:rsidR="00824BD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4BD3" w:rsidRPr="00530F82" w:rsidRDefault="00A4280D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824BD3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ети выполняют способ конструирования.</w:t>
      </w:r>
    </w:p>
    <w:p w:rsidR="00824BD3" w:rsidRPr="00530F82" w:rsidRDefault="00824BD3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После того как дети поняли как получить из квадрата треугольник и прямоугольник ввела способ изготовления различных игрушек. Для этого использую всевозможные дополнительные детал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обрезки бумаги разной формы, величины, цвета). Например, при ознакомлении со способом складывания квадрата пополам использовала полоски бумаги, геометрические орнаменты. </w:t>
      </w:r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При отборе дополнительных деталей следует исходить из того, что  их количество должно быть таким</w:t>
      </w:r>
      <w:r w:rsidR="0030669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б оно обеспечивало получение с помощью одного способа конструирования не менее 3 разных игрушек. Иначе </w:t>
      </w:r>
      <w:proofErr w:type="gramStart"/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не возможно</w:t>
      </w:r>
      <w:proofErr w:type="gramEnd"/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представление о многократности использования способа. Последовательно вынимаю из конверта детали детям демонстрирую и говорю</w:t>
      </w:r>
      <w:proofErr w:type="gramStart"/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442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«Если к квадрату сложенному пополам добавить украшение, то получится открытка</w:t>
      </w:r>
      <w:r w:rsidR="00603B8B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если у квадрата склеить боковые стороны  - то конверт, если к конверту добавить </w:t>
      </w:r>
      <w:r w:rsidR="00603B8B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полоску бумаги – ручку, то получится сумочка. Сделанные детьми игрушки обязательно оцениваются. В процессе оценки обращаю внимание на сходство и различие выполненных игрушек и на средства, с помощью которых они достигнуты. Показываю и разъясняю</w:t>
      </w:r>
      <w:proofErr w:type="gramStart"/>
      <w:r w:rsidR="00603B8B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603B8B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все игрушки сделаны одним и тем же способом, но каждая из них отличается от других дополнительными деталями. </w:t>
      </w:r>
    </w:p>
    <w:p w:rsidR="00603B8B" w:rsidRPr="00530F82" w:rsidRDefault="00603B8B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На втором этапе</w:t>
      </w:r>
      <w:r w:rsidR="00472B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поместила на доску готовую поделку «Домик», сделанную способом складывания квадрата пополам с совмещением противоположных сторону и углов. Дети рассматривают ее и самостоятельно выполняют, используя имеющие у них материал</w:t>
      </w:r>
      <w:proofErr w:type="gramStart"/>
      <w:r w:rsidR="00472B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="00472B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 бумаги квадратной формы и дополнительные детали для получения окон, дверей,</w:t>
      </w:r>
      <w:r w:rsidR="0030669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BAA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крыши)</w:t>
      </w:r>
    </w:p>
    <w:p w:rsidR="00472BAA" w:rsidRPr="00530F82" w:rsidRDefault="00472BAA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следующем занятии предложила задачу, предполагающую перенос другого способ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складывание квадрата по диагонали. Для этого развесила «гирлянду флажков», изготовленную с помощью этого способа и предложила детям проанализировать ее и самостоятельно сделать «Украсить нашу группу».</w:t>
      </w:r>
    </w:p>
    <w:p w:rsidR="005D495C" w:rsidRPr="00530F82" w:rsidRDefault="005D495C" w:rsidP="006077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всегда найдутся несколько детей, которые проявят нерешительность при выполнении заданий. В этом случае не следует спешить с оказанием  практической помощи. На их просьбу говорю, что игрушка очень простая и они сами смогут ее сделать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внимательно посмотрят на нее, помочь совместно с ними проанализировать ее.</w:t>
      </w:r>
      <w:r w:rsidR="00BB4C94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Задать наводящие вопросы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«Посмотри, какой формы домик? (прямоугольной) А как сложить квадрат, что бы получился прямоугольник ты знаешь?» Это почти всегда наталкивает их на верное решение и в результате дети «узнают» 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знакомый способ, лежащий в основе игрушки и воспроизводят</w:t>
      </w:r>
      <w:proofErr w:type="gramEnd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его. </w:t>
      </w:r>
    </w:p>
    <w:p w:rsidR="00707B5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последующих занятиях</w:t>
      </w:r>
      <w:proofErr w:type="gramStart"/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318F5" w:rsidRPr="00530F82" w:rsidRDefault="00555F25" w:rsidP="00707B55">
      <w:pPr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поделки, для изготовления которых также используются  уже «знакомые» способы складывания. </w:t>
      </w:r>
    </w:p>
    <w:p w:rsidR="00A318F5" w:rsidRPr="00530F82" w:rsidRDefault="00555F25" w:rsidP="00707B55">
      <w:pPr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 все  общим игровым сюжетом</w:t>
      </w:r>
    </w:p>
    <w:p w:rsidR="00A318F5" w:rsidRPr="00530F82" w:rsidRDefault="00555F25" w:rsidP="00707B55">
      <w:pPr>
        <w:numPr>
          <w:ilvl w:val="0"/>
          <w:numId w:val="2"/>
        </w:num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даю подсказку для игровых действий с полученными игрушками.</w:t>
      </w:r>
    </w:p>
    <w:p w:rsidR="00707B5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взаимосвязи игры и конструирования: </w:t>
      </w:r>
    </w:p>
    <w:p w:rsidR="00A318F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использую  игровое поле, на котором размещаем  все поделки, выполненные детьми. С этими игрушками </w:t>
      </w:r>
      <w:r w:rsidR="00555F2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555F2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разворачивают режиссерские </w:t>
      </w:r>
      <w:r w:rsidR="00555F2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«Путешествие колобка», «Случай на остановке», «Украшение группы», «Покорми рыбку»</w:t>
      </w:r>
    </w:p>
    <w:p w:rsidR="00707B5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Игровое поле  помещается в  игровом уголке  и постепенно пополняется новыми игрушками, которые дети выполняют в процессе деятельности, организуемой взрослыми вне занятий. </w:t>
      </w:r>
    </w:p>
    <w:p w:rsidR="00707B5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из таких поделок обязательно должна выполняться с помощью уже известных детям двух способов конструирования. </w:t>
      </w:r>
    </w:p>
    <w:p w:rsidR="00707B55" w:rsidRPr="00530F82" w:rsidRDefault="00707B55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рассмотрели особенности руководства конструкторской деятельностью детей пятого года жизни на заняти</w:t>
      </w:r>
      <w:r w:rsidR="004B3AC7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8377F5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3AC7" w:rsidRPr="0053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 их.</w:t>
      </w:r>
    </w:p>
    <w:p w:rsidR="00E01152" w:rsidRPr="00530F82" w:rsidRDefault="00E01152" w:rsidP="00707B55">
      <w:pPr>
        <w:tabs>
          <w:tab w:val="left" w:pos="25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1152" w:rsidRPr="00530F82" w:rsidSect="00D7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6EB5"/>
    <w:multiLevelType w:val="hybridMultilevel"/>
    <w:tmpl w:val="A532D9AC"/>
    <w:lvl w:ilvl="0" w:tplc="2F706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6E3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EB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A4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C0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8C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EC0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E5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E6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C67A73"/>
    <w:multiLevelType w:val="hybridMultilevel"/>
    <w:tmpl w:val="C298CF52"/>
    <w:lvl w:ilvl="0" w:tplc="145C5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056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89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89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28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E6E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E6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603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E0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981DC7"/>
    <w:multiLevelType w:val="hybridMultilevel"/>
    <w:tmpl w:val="2C9EF956"/>
    <w:lvl w:ilvl="0" w:tplc="08169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07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4C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42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85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7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C5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4A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EC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5BA"/>
    <w:rsid w:val="00306695"/>
    <w:rsid w:val="00472BAA"/>
    <w:rsid w:val="004B3AC7"/>
    <w:rsid w:val="00530F82"/>
    <w:rsid w:val="00555F25"/>
    <w:rsid w:val="00590456"/>
    <w:rsid w:val="005D495C"/>
    <w:rsid w:val="00603B8B"/>
    <w:rsid w:val="00607748"/>
    <w:rsid w:val="00707B55"/>
    <w:rsid w:val="00753E59"/>
    <w:rsid w:val="007C32F3"/>
    <w:rsid w:val="00824BD3"/>
    <w:rsid w:val="008377F5"/>
    <w:rsid w:val="00845AB0"/>
    <w:rsid w:val="00A318F5"/>
    <w:rsid w:val="00A4280D"/>
    <w:rsid w:val="00A45583"/>
    <w:rsid w:val="00BB4C94"/>
    <w:rsid w:val="00C70A29"/>
    <w:rsid w:val="00CA04BB"/>
    <w:rsid w:val="00D442AA"/>
    <w:rsid w:val="00D70CE4"/>
    <w:rsid w:val="00E01152"/>
    <w:rsid w:val="00E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2024-11-01T10:07:00Z</dcterms:created>
  <dcterms:modified xsi:type="dcterms:W3CDTF">2025-03-10T10:37:00Z</dcterms:modified>
</cp:coreProperties>
</file>