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BC" w:rsidRPr="006F02BC" w:rsidRDefault="006F02BC" w:rsidP="006F02BC">
      <w:pPr>
        <w:shd w:val="clear" w:color="auto" w:fill="FFFFFF"/>
        <w:spacing w:before="192" w:after="100" w:afterAutospacing="1" w:line="240" w:lineRule="auto"/>
        <w:ind w:left="240"/>
        <w:outlineLvl w:val="0"/>
        <w:rPr>
          <w:rFonts w:ascii="Arial" w:eastAsia="Times New Roman" w:hAnsi="Arial" w:cs="Arial"/>
          <w:b/>
          <w:bCs/>
          <w:color w:val="CC3300"/>
          <w:kern w:val="36"/>
          <w:sz w:val="36"/>
          <w:szCs w:val="36"/>
        </w:rPr>
      </w:pPr>
      <w:r w:rsidRPr="006F02BC">
        <w:rPr>
          <w:rFonts w:ascii="Arial" w:eastAsia="Times New Roman" w:hAnsi="Arial" w:cs="Arial"/>
          <w:b/>
          <w:bCs/>
          <w:color w:val="CC3300"/>
          <w:kern w:val="36"/>
          <w:sz w:val="36"/>
          <w:szCs w:val="36"/>
        </w:rPr>
        <w:t>Восточные славяне в древности</w:t>
      </w:r>
    </w:p>
    <w:p w:rsidR="006F02BC" w:rsidRPr="006F02BC" w:rsidRDefault="006F02BC" w:rsidP="006F02BC">
      <w:pPr>
        <w:shd w:val="clear" w:color="auto" w:fill="FFFFFF"/>
        <w:spacing w:before="100" w:beforeAutospacing="1" w:after="100" w:afterAutospacing="1" w:line="420" w:lineRule="atLeast"/>
        <w:ind w:firstLine="270"/>
        <w:rPr>
          <w:rFonts w:ascii="Tahoma" w:eastAsia="Times New Roman" w:hAnsi="Tahoma" w:cs="Tahoma"/>
          <w:color w:val="2A2A2A"/>
          <w:sz w:val="27"/>
          <w:szCs w:val="27"/>
        </w:rPr>
      </w:pPr>
      <w:r w:rsidRPr="006F02BC">
        <w:rPr>
          <w:rFonts w:ascii="Tahoma" w:eastAsia="Times New Roman" w:hAnsi="Tahoma" w:cs="Tahoma"/>
          <w:color w:val="2A2A2A"/>
          <w:sz w:val="27"/>
          <w:szCs w:val="27"/>
        </w:rPr>
        <w:t>Славянские племена издавна обитали в Центральной Европе, в Прикарпатье, на Балканском полуострове. Их движение на восток происходит в V-VII вв. н.э. Постепенно они проникают в лесные массивы Восточно-Европейской равнины. Освоение славянами этой обширной территории обошлось без кровавых столкновений с населявшими ее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балтийскими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 и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угро-финскими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 племенами. Пришельцы и старожилы, как правило, мирно уживались друг с другом; при этом в ходе постоянных хозяйственных и прочих контактов значительная часть местного населения ославянивалась. Иначе складывались взаимоотношения славян с их южными соседями — скотоводческими народами, кочевавшими в степях. В начале VII в. союз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антов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, состоявший в основном из земледельческих славянских племен, был разгромлен в Северном Причерноморье кочевыми племенами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аваров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. В том же VII в. другие кочевники —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хазары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 — создали здесь сильное государство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Хазарский каганат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, расположившийся на территории Северного Причерноморья, Северного Кавказа и прикаспийских степей. Многие восточнославянские племена вынуждены были признать господство хазар и платить им дань.</w:t>
      </w:r>
    </w:p>
    <w:p w:rsidR="006F02BC" w:rsidRPr="006F02BC" w:rsidRDefault="006F02BC" w:rsidP="006F02BC">
      <w:pPr>
        <w:shd w:val="clear" w:color="auto" w:fill="FFFFFF"/>
        <w:spacing w:before="100" w:beforeAutospacing="1" w:after="100" w:afterAutospacing="1" w:line="420" w:lineRule="atLeast"/>
        <w:ind w:firstLine="270"/>
        <w:rPr>
          <w:rFonts w:ascii="Tahoma" w:eastAsia="Times New Roman" w:hAnsi="Tahoma" w:cs="Tahoma"/>
          <w:color w:val="2A2A2A"/>
          <w:sz w:val="27"/>
          <w:szCs w:val="27"/>
        </w:rPr>
      </w:pPr>
      <w:r w:rsidRPr="006F02BC">
        <w:rPr>
          <w:rFonts w:ascii="Tahoma" w:eastAsia="Times New Roman" w:hAnsi="Tahoma" w:cs="Tahoma"/>
          <w:color w:val="2A2A2A"/>
          <w:sz w:val="27"/>
          <w:szCs w:val="27"/>
        </w:rPr>
        <w:t>Расселение славян по территории Восточно-Европейской равнины в VII в. в основном завершилось. Племена, жившие рядом в одинаковых природных условиях, как правило, создавали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племенные союзы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 для совместного освоения территории и защиты ее от внешних врагов. Обширные земли на севере, вокруг озера Ильмень, находились во владении союза славен ильменских. Относительно густо были заселены центр и юго-запад. В верховьях Днепра располагались союзы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дреговичей, древлян, радимичей и северян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; на землях в среднем течении Днепра, где леса постепенно сменялись лесостепью, жили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поляне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. Плодородные земли по Днестру были заняты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белыми хорватами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 и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волынянами, угличами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 и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тиверцами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. Наконец, на глухой восточной окраине, в покрытом лесами междуречье Верхней Волги и Оки, жили немногочисленные племена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кривичей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 и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вятичей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.</w:t>
      </w:r>
    </w:p>
    <w:p w:rsidR="006F02BC" w:rsidRPr="006F02BC" w:rsidRDefault="006F02BC" w:rsidP="006F02BC">
      <w:pPr>
        <w:shd w:val="clear" w:color="auto" w:fill="FFFFFF"/>
        <w:spacing w:before="100" w:beforeAutospacing="1" w:after="100" w:afterAutospacing="1" w:line="420" w:lineRule="atLeast"/>
        <w:ind w:firstLine="270"/>
        <w:rPr>
          <w:rFonts w:ascii="Tahoma" w:eastAsia="Times New Roman" w:hAnsi="Tahoma" w:cs="Tahoma"/>
          <w:color w:val="2A2A2A"/>
          <w:sz w:val="27"/>
          <w:szCs w:val="27"/>
        </w:rPr>
      </w:pPr>
      <w:r w:rsidRPr="006F02BC">
        <w:rPr>
          <w:rFonts w:ascii="Tahoma" w:eastAsia="Times New Roman" w:hAnsi="Tahoma" w:cs="Tahoma"/>
          <w:color w:val="2A2A2A"/>
          <w:sz w:val="27"/>
          <w:szCs w:val="27"/>
        </w:rPr>
        <w:lastRenderedPageBreak/>
        <w:t>Основу экономической жизни славян составляло земледелие. Те немногие племена, которые населяли плодородные лесостепные районы, практиковали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залежную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 систему земледелия: на определенном участке выжигали траву, удобряли почву золой, после чего использовали землю до полного ее истощения. Затем участок забрасывали. В лесных же районах славяне прибегали к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подсечной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 системе, когда приходилось вырубать и сжигать значительные участки леса. В условиях трудоемкости и низкой производительности подобных работ важнейшую роль играла общественная и хозяйственная организация славян. Она носила общинный характер. Именно из отдельных общин складывались племена, которые затем создавали грандиозные союзы. В V—VII вв. еще господствовала родовая община. Все члены ее были связаны кровным родством. Собственность на средства производства — землю, рабочий скот, инвентарь — и само производство носили коллективный характер; распределение же было уравнительным. Однако по мере того как совершенствовались трудовые навыки и земледельческие орудия, по мере того как росла производительность земледелия, род постепенно распадался на отдельные семьи, и родовая община сменялась соседской. В такой общине жилище, скот и инвентарь переходили в семейную собственность; земля же, хотя и оставалась в коллективном владении всей общины, делилась на участки, которые передавались в пользование отдельных семей.</w:t>
      </w:r>
    </w:p>
    <w:p w:rsidR="006F02BC" w:rsidRPr="006F02BC" w:rsidRDefault="006F02BC" w:rsidP="006F02BC">
      <w:pPr>
        <w:shd w:val="clear" w:color="auto" w:fill="FFFFFF"/>
        <w:spacing w:before="100" w:beforeAutospacing="1" w:after="100" w:afterAutospacing="1" w:line="420" w:lineRule="atLeast"/>
        <w:ind w:firstLine="270"/>
        <w:rPr>
          <w:rFonts w:ascii="Tahoma" w:eastAsia="Times New Roman" w:hAnsi="Tahoma" w:cs="Tahoma"/>
          <w:color w:val="2A2A2A"/>
          <w:sz w:val="27"/>
          <w:szCs w:val="27"/>
        </w:rPr>
      </w:pPr>
      <w:r w:rsidRPr="006F02BC">
        <w:rPr>
          <w:rFonts w:ascii="Tahoma" w:eastAsia="Times New Roman" w:hAnsi="Tahoma" w:cs="Tahoma"/>
          <w:color w:val="2A2A2A"/>
          <w:sz w:val="27"/>
          <w:szCs w:val="27"/>
        </w:rPr>
        <w:t>Подобные перемены постепенно приводили к имущественному неравенству; оформлялся слой богатых, знатных людей. Важную роль в этом процессе играли и войны, особенно походы на владения богатой Византии, которые в случае удачи приносили огромную добычу, распределявшуюся далеко не равномерно. Поначалу в таких походах участвует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ополчение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, включавшее в себя большую часть мужчин племени, постепенно его заменяет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дружина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> — группа отборных воинов-профессионалов, постоянных боевых соратников племенного вождя, который все в большей степени превращается в </w:t>
      </w:r>
      <w:r w:rsidRPr="006F02BC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князя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t xml:space="preserve"> — руководителя этой дружины. Дружина используется племенной верхушкой и для поддержания порядка в своем собственном племени, т.е. принимает на себя функции государства. Таким образом, в VII — VIII вв. восточные </w:t>
      </w:r>
      <w:r w:rsidRPr="006F02BC">
        <w:rPr>
          <w:rFonts w:ascii="Tahoma" w:eastAsia="Times New Roman" w:hAnsi="Tahoma" w:cs="Tahoma"/>
          <w:color w:val="2A2A2A"/>
          <w:sz w:val="27"/>
          <w:szCs w:val="27"/>
        </w:rPr>
        <w:lastRenderedPageBreak/>
        <w:t>славяне переживают очень медленный, но последовательный процесс становления классового общества и зарождения государства.</w:t>
      </w:r>
    </w:p>
    <w:p w:rsidR="00C33F9C" w:rsidRDefault="00C33F9C"/>
    <w:sectPr w:rsidR="00C3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02BC"/>
    <w:rsid w:val="006F02BC"/>
    <w:rsid w:val="00C3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2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F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2025-03-30T11:51:00Z</dcterms:created>
  <dcterms:modified xsi:type="dcterms:W3CDTF">2025-03-30T11:51:00Z</dcterms:modified>
</cp:coreProperties>
</file>