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890" w:leader="none"/>
          <w:tab w:val="right" w:pos="9071" w:leader="none"/>
        </w:tabs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Областное  государственное бюджетное  профессиональное </w:t>
      </w:r>
    </w:p>
    <w:p>
      <w:pPr>
        <w:pStyle w:val="Normal"/>
        <w:tabs>
          <w:tab w:val="clear" w:pos="708"/>
          <w:tab w:val="center" w:pos="4890" w:leader="none"/>
          <w:tab w:val="right" w:pos="9071" w:leader="none"/>
        </w:tabs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образовательное  учреждение</w:t>
      </w:r>
    </w:p>
    <w:p>
      <w:pPr>
        <w:pStyle w:val="Normal"/>
        <w:tabs>
          <w:tab w:val="clear" w:pos="708"/>
          <w:tab w:val="center" w:pos="4890" w:leader="none"/>
          <w:tab w:val="right" w:pos="9071" w:leader="none"/>
        </w:tabs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«Кузоватовский технологический техникум»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120" w:after="200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 xml:space="preserve">РАБОЧАЯ ПРОГРАММА </w:t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b/>
          <w:i/>
          <w:i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>УЧЕБНОЙ ДИСЦИПЛИНЫ</w:t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b/>
          <w:i/>
          <w:i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u w:val="single"/>
          <w:lang w:eastAsia="ru-RU"/>
        </w:rPr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>«ЕН.02 ЭКОЛОГИЧЕСКИЕ ОСНОВЫ ПРИРОДОПОЛЬЗОВАНИЯ»</w:t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pBdr>
          <w:bottom w:val="single" w:sz="8" w:space="1" w:color="000000"/>
        </w:pBdr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35.02.16 Эксплуатация и ремонт сельскохозяйственной техники и оборудования</w:t>
      </w:r>
    </w:p>
    <w:p>
      <w:pPr>
        <w:pStyle w:val="Normal"/>
        <w:pBdr>
          <w:bottom w:val="single" w:sz="8" w:space="1" w:color="000000"/>
        </w:pBdr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120" w:after="200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120" w:after="200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120" w:after="200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120" w:after="200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120" w:after="20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120" w:after="20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Кузоватово</w:t>
      </w:r>
      <w:r>
        <w:br w:type="page"/>
      </w:r>
    </w:p>
    <w:p>
      <w:pPr>
        <w:pStyle w:val="Normal"/>
        <w:spacing w:before="0" w:after="200"/>
        <w:jc w:val="both"/>
        <w:rPr>
          <w:rFonts w:ascii="Times New Roman" w:hAnsi="Times New Roman"/>
          <w:iCs/>
          <w:sz w:val="28"/>
          <w:szCs w:val="28"/>
        </w:rPr>
      </w:pPr>
      <w:r>
        <mc:AlternateContent>
          <mc:Choice Requires="wps">
            <w:drawing>
              <wp:anchor behindDoc="0" distT="0" distB="0" distL="112395" distR="114300" simplePos="0" locked="0" layoutInCell="0" allowOverlap="1" relativeHeight="2">
                <wp:simplePos x="0" y="0"/>
                <wp:positionH relativeFrom="margin">
                  <wp:posOffset>0</wp:posOffset>
                </wp:positionH>
                <wp:positionV relativeFrom="paragraph">
                  <wp:posOffset>1665605</wp:posOffset>
                </wp:positionV>
                <wp:extent cx="5948045" cy="2577465"/>
                <wp:effectExtent l="0" t="0" r="0" b="0"/>
                <wp:wrapSquare wrapText="largest"/>
                <wp:docPr id="1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920" cy="257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031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4785"/>
                              <w:gridCol w:w="5245"/>
                            </w:tblGrid>
                            <w:tr>
                              <w:trPr>
                                <w:trHeight w:val="264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</w:tcPr>
                                <w:p>
                                  <w:pPr>
                                    <w:pStyle w:val="Style18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РАССМОТРЕНА</w:t>
                                  </w:r>
                                </w:p>
                                <w:p>
                                  <w:pPr>
                                    <w:pStyle w:val="Style18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ПЦК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математических и естественнонаучных дисциплин</w:t>
                                  </w:r>
                                </w:p>
                                <w:p>
                                  <w:pPr>
                                    <w:pStyle w:val="Style18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(протокол от </w:t>
                                  </w:r>
                                </w:p>
                                <w:p>
                                  <w:pPr>
                                    <w:pStyle w:val="Style18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Style18"/>
                                    <w:spacing w:before="0" w:after="200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/>
                                </w:tcPr>
                                <w:p>
                                  <w:pPr>
                                    <w:pStyle w:val="Style18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>
                                  <w:pPr>
                                    <w:pStyle w:val="Style18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Заместитель директора по УР</w:t>
                                  </w:r>
                                </w:p>
                                <w:p>
                                  <w:pPr>
                                    <w:pStyle w:val="Style18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ОГБПОУ КТТ</w:t>
                                  </w:r>
                                </w:p>
                                <w:p>
                                  <w:pPr>
                                    <w:pStyle w:val="Style18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                         </w:t>
                                  </w:r>
                                </w:p>
                                <w:p>
                                  <w:pPr>
                                    <w:pStyle w:val="Style18"/>
                                    <w:spacing w:before="0" w:after="200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(утв. Приказом Министерства образования и науки  РФ от 07.05 2014 г. </w:t>
                            </w:r>
                          </w:p>
                          <w:p>
                            <w:pPr>
                              <w:pStyle w:val="Style18"/>
                              <w:rPr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№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456)</w:t>
                            </w:r>
                          </w:p>
                          <w:p>
                            <w:pPr>
                              <w:pStyle w:val="Style1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pStyle w:val="Style18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bCs/>
                                <w:i/>
                                <w:i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Разработчик:     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Вера Вячеславна Бадакина, преподаватель химии и биологии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pStyle w:val="Style18"/>
                              <w:spacing w:lineRule="auto" w:line="360"/>
                              <w:jc w:val="both"/>
                              <w:rPr>
                                <w:bCs/>
                                <w:i/>
                                <w:i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bCs/>
                                <w:i/>
                                <w:i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widowControl w:val="false"/>
                              <w:jc w:val="both"/>
                              <w:rPr>
                                <w:i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</w:r>
                          </w:p>
                          <w:p>
                            <w:pPr>
                              <w:pStyle w:val="BodyText2"/>
                              <w:widowControl w:val="false"/>
                              <w:spacing w:lineRule="auto" w:line="240" w:before="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tbl>
                            <w:tblPr>
                              <w:tblW w:w="424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 w:noHBand="0" w:noVBand="0" w:firstColumn="1" w:lastRow="1" w:lastColumn="1" w:firstRow="1"/>
                            </w:tblPr>
                            <w:tblGrid>
                              <w:gridCol w:w="4248"/>
                            </w:tblGrid>
                            <w:tr>
                              <w:trPr/>
                              <w:tc>
                                <w:tcPr>
                                  <w:tcW w:w="4248" w:type="dxa"/>
                                  <w:tcBorders/>
                                </w:tcPr>
                                <w:p>
                                  <w:pPr>
                                    <w:pStyle w:val="BodyText2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BodyText2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Глава КФХ «Дементьев А.И.</w:t>
                                  </w:r>
                                </w:p>
                                <w:p>
                                  <w:pPr>
                                    <w:pStyle w:val="BodyText2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____________А.И.Дементьев</w:t>
                                  </w:r>
                                </w:p>
                                <w:p>
                                  <w:pPr>
                                    <w:pStyle w:val="BodyText2"/>
                                    <w:widowControl w:val="false"/>
                                    <w:spacing w:lineRule="auto" w:line="240" w:before="0"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подпись</w:t>
                                  </w:r>
                                </w:p>
                                <w:p>
                                  <w:pPr>
                                    <w:pStyle w:val="BodyText2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_______________ 20___ г.</w:t>
                                  </w:r>
                                </w:p>
                                <w:p>
                                  <w:pPr>
                                    <w:pStyle w:val="BodyText2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8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stroked="f" o:allowincell="f" style="position:absolute;margin-left:0pt;margin-top:131.15pt;width:468.3pt;height:202.9pt;mso-wrap-style:square;v-text-anchor:top;mso-position-horizontal-relative:margin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031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4785"/>
                        <w:gridCol w:w="5245"/>
                      </w:tblGrid>
                      <w:tr>
                        <w:trPr>
                          <w:trHeight w:val="2646" w:hRule="atLeast"/>
                        </w:trPr>
                        <w:tc>
                          <w:tcPr>
                            <w:tcW w:w="4785" w:type="dxa"/>
                            <w:tcBorders/>
                          </w:tcPr>
                          <w:p>
                            <w:pPr>
                              <w:pStyle w:val="Style18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РАССМОТРЕНА</w:t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ПЦК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математических и естественнонаучных дисциплин</w:t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(протокол от </w:t>
                            </w:r>
                          </w:p>
                          <w:p>
                            <w:pPr>
                              <w:pStyle w:val="Style18"/>
                              <w:rPr>
                                <w:rFonts w:ascii="Times New Roman" w:hAnsi="Times New Roman"/>
                                <w:bCs/>
                                <w:i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8"/>
                              <w:spacing w:before="0" w:after="20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45" w:type="dxa"/>
                            <w:tcBorders/>
                          </w:tcPr>
                          <w:p>
                            <w:pPr>
                              <w:pStyle w:val="Style18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18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>
                            <w:pPr>
                              <w:pStyle w:val="Style18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pStyle w:val="Style18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ОГБПОУ КТТ</w:t>
                            </w:r>
                          </w:p>
                          <w:p>
                            <w:pPr>
                              <w:pStyle w:val="Style18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>
                            <w:pPr>
                              <w:pStyle w:val="Style18"/>
                              <w:spacing w:before="0" w:after="20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>
                          <w:u w:val="single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 xml:space="preserve">(утв. Приказом Министерства образования и науки  РФ от 07.05 2014 г. </w:t>
                      </w:r>
                    </w:p>
                    <w:p>
                      <w:pPr>
                        <w:pStyle w:val="Style18"/>
                        <w:rPr>
                          <w:bCs/>
                          <w:u w:val="single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 xml:space="preserve">№ </w:t>
                      </w:r>
                      <w:r>
                        <w:rPr>
                          <w:color w:val="000000"/>
                          <w:u w:val="single"/>
                        </w:rPr>
                        <w:t>456)</w:t>
                      </w:r>
                    </w:p>
                    <w:p>
                      <w:pPr>
                        <w:pStyle w:val="Style18"/>
                        <w:rPr>
                          <w:bCs/>
                        </w:rPr>
                      </w:pPr>
                      <w:r>
                        <w:rPr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18"/>
                        <w:rPr>
                          <w:bCs/>
                        </w:rPr>
                      </w:pPr>
                      <w:r>
                        <w:rPr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18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pStyle w:val="Style18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18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1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jc w:val="both"/>
                        <w:rPr>
                          <w:bCs/>
                          <w:i/>
                          <w:i/>
                        </w:rPr>
                      </w:pPr>
                      <w:r>
                        <w:rPr>
                          <w:color w:val="000000"/>
                        </w:rPr>
                        <w:t xml:space="preserve">Разработчик:      </w:t>
                      </w:r>
                      <w:r>
                        <w:rPr>
                          <w:color w:val="000000"/>
                          <w:u w:val="single"/>
                        </w:rPr>
                        <w:t>Вера Вячеславна Бадакина, преподаватель химии и биологии</w:t>
                      </w:r>
                      <w:r>
                        <w:rPr>
                          <w:i/>
                          <w:color w:val="000000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pStyle w:val="Style18"/>
                        <w:spacing w:lineRule="auto" w:line="360"/>
                        <w:jc w:val="both"/>
                        <w:rPr>
                          <w:bCs/>
                          <w:i/>
                          <w:i/>
                        </w:rPr>
                      </w:pPr>
                      <w:r>
                        <w:rPr>
                          <w:bCs/>
                          <w:i/>
                          <w:color w:val="000000"/>
                        </w:rPr>
                      </w:r>
                    </w:p>
                    <w:p>
                      <w:pPr>
                        <w:pStyle w:val="Style18"/>
                        <w:jc w:val="both"/>
                        <w:rPr>
                          <w:bCs/>
                          <w:i/>
                          <w:i/>
                        </w:rPr>
                      </w:pPr>
                      <w:r>
                        <w:rPr>
                          <w:bCs/>
                          <w:i/>
                          <w:color w:val="000000"/>
                        </w:rPr>
                      </w:r>
                    </w:p>
                    <w:p>
                      <w:pPr>
                        <w:pStyle w:val="Style18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18"/>
                        <w:widowControl w:val="false"/>
                        <w:jc w:val="both"/>
                        <w:rPr>
                          <w:i/>
                          <w:i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i/>
                          <w:color w:val="000000"/>
                          <w:sz w:val="32"/>
                          <w:szCs w:val="32"/>
                          <w:vertAlign w:val="superscript"/>
                        </w:rPr>
                      </w:r>
                    </w:p>
                    <w:p>
                      <w:pPr>
                        <w:pStyle w:val="BodyText2"/>
                        <w:widowControl w:val="false"/>
                        <w:spacing w:lineRule="auto" w:line="240" w:before="0" w:after="0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tbl>
                      <w:tblPr>
                        <w:tblW w:w="424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 w:noHBand="0" w:noVBand="0" w:firstColumn="1" w:lastRow="1" w:lastColumn="1" w:firstRow="1"/>
                      </w:tblPr>
                      <w:tblGrid>
                        <w:gridCol w:w="4248"/>
                      </w:tblGrid>
                      <w:tr>
                        <w:trPr/>
                        <w:tc>
                          <w:tcPr>
                            <w:tcW w:w="4248" w:type="dxa"/>
                            <w:tcBorders/>
                          </w:tcPr>
                          <w:p>
                            <w:pPr>
                              <w:pStyle w:val="BodyText2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СОГЛАСОВАНО</w:t>
                            </w:r>
                          </w:p>
                          <w:p>
                            <w:pPr>
                              <w:pStyle w:val="BodyText2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Глава КФХ «Дементьев А.И.</w:t>
                            </w:r>
                          </w:p>
                          <w:p>
                            <w:pPr>
                              <w:pStyle w:val="BodyText2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____________А.И.Дементьев</w:t>
                            </w:r>
                          </w:p>
                          <w:p>
                            <w:pPr>
                              <w:pStyle w:val="BodyText2"/>
                              <w:widowControl w:val="false"/>
                              <w:spacing w:lineRule="auto" w:line="240"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  <w:p>
                            <w:pPr>
                              <w:pStyle w:val="BodyText2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_______________ 20___ г.</w:t>
                            </w:r>
                          </w:p>
                          <w:p>
                            <w:pPr>
                              <w:pStyle w:val="BodyText2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8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Times New Roman" w:hAnsi="Times New Roman"/>
          <w:iCs/>
          <w:sz w:val="28"/>
          <w:szCs w:val="28"/>
        </w:rPr>
        <w:t>Рабочая программа учебной дисциплины «ЕН.02 Экологические основы природопользования» разработана в соответствии с ФГОС СПО 35.02.16 Эксплуатация и ремонт сельскохозяйственной техники и оборудования, утверждённым приказом Министерства образования и науки РФ от 9 декабря 2016г. №1564 (Зарегистрирован Министерством юстиции РФ 22.12.2016 №44896)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Зубарева Л.В.,  преподаватель </w:t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>СОДЕРЖАНИЕ</w:t>
      </w:r>
    </w:p>
    <w:p>
      <w:pPr>
        <w:pStyle w:val="Normal"/>
        <w:spacing w:before="120" w:after="200"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tbl>
      <w:tblPr>
        <w:tblW w:w="9246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7414"/>
        <w:gridCol w:w="1831"/>
      </w:tblGrid>
      <w:tr>
        <w:trPr/>
        <w:tc>
          <w:tcPr>
            <w:tcW w:w="7414" w:type="dxa"/>
            <w:tcBorders/>
          </w:tcPr>
          <w:p>
            <w:pPr>
              <w:pStyle w:val="Normal"/>
              <w:spacing w:before="120" w:after="200"/>
              <w:ind w:left="284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31" w:type="dxa"/>
            <w:tcBorders/>
          </w:tcPr>
          <w:p>
            <w:pPr>
              <w:pStyle w:val="Normal"/>
              <w:spacing w:before="120" w:after="200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стр 4</w:t>
            </w:r>
          </w:p>
        </w:tc>
      </w:tr>
      <w:tr>
        <w:trPr/>
        <w:tc>
          <w:tcPr>
            <w:tcW w:w="7414" w:type="dxa"/>
            <w:tcBorders/>
          </w:tcPr>
          <w:p>
            <w:pPr>
              <w:pStyle w:val="Normal"/>
              <w:spacing w:before="120" w:after="200"/>
              <w:ind w:left="284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2. СТРУКТУРА И СОДЕРЖАНИЕ УЧЕБНОЙ ДИСЦИПЛИНЫ</w:t>
            </w:r>
          </w:p>
          <w:p>
            <w:pPr>
              <w:pStyle w:val="Normal"/>
              <w:spacing w:before="120" w:after="200"/>
              <w:ind w:left="284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31" w:type="dxa"/>
            <w:tcBorders/>
          </w:tcPr>
          <w:p>
            <w:pPr>
              <w:pStyle w:val="Normal"/>
              <w:spacing w:before="120" w:after="200"/>
              <w:ind w:left="644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стр 6</w:t>
            </w:r>
          </w:p>
          <w:p>
            <w:pPr>
              <w:pStyle w:val="Normal"/>
              <w:spacing w:before="120" w:after="200"/>
              <w:ind w:left="644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120" w:after="200"/>
              <w:ind w:left="644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стр 16</w:t>
            </w:r>
          </w:p>
        </w:tc>
      </w:tr>
      <w:tr>
        <w:trPr/>
        <w:tc>
          <w:tcPr>
            <w:tcW w:w="7414" w:type="dxa"/>
            <w:tcBorders/>
          </w:tcPr>
          <w:p>
            <w:pPr>
              <w:pStyle w:val="Normal"/>
              <w:spacing w:before="120" w:after="200"/>
              <w:ind w:left="284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4. КОНТРОЛЬ И ОЦЕНКА РЕЗУЛЬТАТОВ ОСВОЕНИЯ УЧЕБНОЙ ДИСЦИПЛИНЫ</w:t>
            </w:r>
          </w:p>
          <w:p>
            <w:pPr>
              <w:pStyle w:val="Normal"/>
              <w:spacing w:before="120" w:after="20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831" w:type="dxa"/>
            <w:tcBorders/>
          </w:tcPr>
          <w:p>
            <w:pPr>
              <w:pStyle w:val="Normal"/>
              <w:spacing w:before="120" w:after="200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стр 17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before="0" w:after="200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>1. ОБЩАЯ    ХАРАКТЕРИСТИКА   РАБОЧЕЙ   ПРОГРАММЫ УЧЕБНОЙ ДИСЦИПЛИНЫ «ЕН.02 ЭКОЛОГИЧЕСКИЕ ОСНОВЫ ПРИРОДОПОЛЬЗОВАНИЯ»</w:t>
      </w:r>
    </w:p>
    <w:p>
      <w:pPr>
        <w:pStyle w:val="Normal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   </w:t>
      </w:r>
    </w:p>
    <w:p>
      <w:pPr>
        <w:pStyle w:val="Normal"/>
        <w:spacing w:before="120" w:after="20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>
      <w:pPr>
        <w:pStyle w:val="Normal"/>
        <w:spacing w:before="120" w:after="200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учебная дисциплина входит в математический и общий естественнонаучный цикл дисциплин.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1.3. Цель и планируемые результаты освоения дисциплины: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>
      <w:pPr>
        <w:pStyle w:val="Normal"/>
        <w:ind w:firstLine="567"/>
        <w:jc w:val="both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</w:r>
    </w:p>
    <w:tbl>
      <w:tblPr>
        <w:tblW w:w="9782" w:type="dxa"/>
        <w:jc w:val="left"/>
        <w:tblInd w:w="-4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1965"/>
        <w:gridCol w:w="4131"/>
        <w:gridCol w:w="3686"/>
      </w:tblGrid>
      <w:tr>
        <w:trPr>
          <w:trHeight w:val="649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ПК, ОК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Знания</w:t>
            </w:r>
          </w:p>
        </w:tc>
      </w:tr>
      <w:tr>
        <w:trPr>
          <w:trHeight w:val="212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ОК 01, ОК 02, ОК 06, ОК 07, ОК 09, ОК 10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в общем виде оценку антропогенного воздействия на окружающую среду с учетом специфики природно-климатических условий;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Принципы взаимодействия живых организмов и среды обитания;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Условия устойчивого состояния </w:t>
            </w:r>
            <w:bookmarkStart w:id="0" w:name="_GoBack"/>
            <w:bookmarkEnd w:id="0"/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экосистем;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Принципы и методы рационального природопользования;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Методы снижения хозяйственного воздействия на биосферу;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Методы экологического регулирования;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Организационные и правовые средства охраны окружающей среды.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120" w:after="20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>
      <w:pPr>
        <w:pStyle w:val="Normal"/>
        <w:spacing w:before="120" w:after="20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462" w:type="dxa"/>
        <w:jc w:val="left"/>
        <w:tblInd w:w="-1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7532"/>
        <w:gridCol w:w="1929"/>
      </w:tblGrid>
      <w:tr>
        <w:trPr>
          <w:trHeight w:val="490" w:hRule="atLeast"/>
        </w:trPr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200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>
        <w:trPr>
          <w:trHeight w:val="490" w:hRule="atLeast"/>
        </w:trPr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200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Объем образовательной программы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i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ascii="Times New Roman" w:hAnsi="Times New Roman"/>
                <w:iCs/>
                <w:sz w:val="28"/>
                <w:szCs w:val="28"/>
                <w:lang w:val="en-US" w:eastAsia="ru-RU"/>
              </w:rPr>
              <w:t>6</w:t>
            </w:r>
          </w:p>
        </w:tc>
      </w:tr>
      <w:tr>
        <w:trPr>
          <w:trHeight w:val="612" w:hRule="atLeast"/>
        </w:trPr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rHeight w:val="490" w:hRule="atLeast"/>
        </w:trPr>
        <w:tc>
          <w:tcPr>
            <w:tcW w:w="9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>
        <w:trPr>
          <w:trHeight w:val="490" w:hRule="atLeast"/>
        </w:trPr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200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Cs/>
                <w:sz w:val="28"/>
                <w:szCs w:val="28"/>
                <w:lang w:eastAsia="ru-RU"/>
              </w:rPr>
              <w:t>62</w:t>
            </w:r>
          </w:p>
        </w:tc>
      </w:tr>
      <w:tr>
        <w:trPr>
          <w:trHeight w:val="490" w:hRule="atLeast"/>
        </w:trPr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200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90" w:hRule="atLeast"/>
        </w:trPr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200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Cs/>
                <w:sz w:val="28"/>
                <w:szCs w:val="28"/>
                <w:lang w:eastAsia="ru-RU"/>
              </w:rPr>
              <w:t>28</w:t>
            </w:r>
          </w:p>
        </w:tc>
      </w:tr>
      <w:tr>
        <w:trPr>
          <w:trHeight w:val="490" w:hRule="atLeast"/>
        </w:trPr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rHeight w:val="490" w:hRule="atLeast"/>
        </w:trPr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проводится в форме  дифференцированного зачёта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20" w:after="200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2.2. Тематический план и содержание учебной дисциплины ЕН.02 «Экологические основы природопользования»</w:t>
      </w:r>
    </w:p>
    <w:p>
      <w:pPr>
        <w:pStyle w:val="Normal"/>
        <w:spacing w:before="120" w:after="200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</w:r>
    </w:p>
    <w:tbl>
      <w:tblPr>
        <w:tblW w:w="14715" w:type="dxa"/>
        <w:jc w:val="left"/>
        <w:tblInd w:w="-1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2235"/>
        <w:gridCol w:w="9557"/>
        <w:gridCol w:w="1361"/>
        <w:gridCol w:w="1561"/>
      </w:tblGrid>
      <w:tr>
        <w:trPr>
          <w:trHeight w:val="20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>
        <w:trPr>
          <w:trHeight w:val="20" w:hRule="atLeast"/>
        </w:trPr>
        <w:tc>
          <w:tcPr>
            <w:tcW w:w="1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 1. Теоретическая экология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1.1. Общая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методы рационального природопользования;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устойчивого состояния экосистем;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альтернативные источники энергии;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принципы и методы рационального природопользования. Условия устойчивого состояния экосистем.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 01, ОК 02, ОК 07, ОК 10,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1.Введение. Структура и задачи предмета. Основные направления рационального природопользования. Природоресурсный потенциал. Условия свободы и ответственности за сохранения жизни на Земле и экокультуры. Значение экологического образования для будущего специалиста.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2.Виды и классификация природных ресурсов. Природные ресурсы, как сырьё для изготовления изделий из полимерных композитов. 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3. Альтернативные источники энергии. Альтернативные источники сырья для изготовления изделий из полимерных композитов.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759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4.Природопользование. Принципы и методы рационального природопользования. Условия устойчивого состояния экосистем.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759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5. Глобальные экологические проблемы человечества, связанные с деятельностью предприятий химической промышленности и пути их решения.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759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№1, №2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1-2. Природные ресурсы и рациональное природопользование.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подготовить сообщения по теме: «Альтернативные источники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энергии».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 2. Промышленная экология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231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Техногенное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воздействие на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окружающую среду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и прогнозировать экологические последствия различных видов 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t>выявлять мутагены в окружающей среде и давать косвенную оценку возможного их влияния на организм.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источники техногенного воздействия на окружающую среду;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размещения производств различного типа;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группы отходов, их источники и масштабы образования;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принцип мониторинга окружающей среды.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 01, ОК 02, ОК 06, ОК 07,</w:t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Техногенное воздействие на окружающую среду на предприятиях химической промышленности. Типы загрязняющих веществ. Особые и экстремальные виды загрязнений, возникающих при производстве изделий из полимерных композитов. Контроль экологических параметров, в том числе с помощью программно-аппаратных комплексов.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№3, №4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3. Последствия человеческой деятельности в природе. Глобальные проблемы человечества.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4.Выявление мутагенов в окружающей среде и косвенная оценка возможного их влияния на организм.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обучающихся: «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Техногенное воздействие на окружающую среду на предприятиях химической промышленности. Типы загрязняющих веществ. Особые и экстремальные виды загрязнений, возникающих при производстве»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442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воздушной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 01, ОК 02, ОК 07, ОК 09, ОК 10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442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деятельности;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основные способы предотвращения и улавливания выбросов;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технологии утилизации газовых выбросов;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 для обезвреживания и очистки газовых выбросов.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Способы 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 Оборудование для обезвреживания и очистки газовых выбросов.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№5, №6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5-6. Охрана воздушной среды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подготовить сообщение по теме: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«Основные технологии утилизации газовых выбросов».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Принципы охраны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водной среды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 01, ОК 02, ОК 07, ОК 10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деятельности;</w:t>
            </w:r>
          </w:p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методы очистки промышленных сточных вод;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 для обезвреживания и очистки стоков.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Методы очистки промышленных сточных вод, образующихся при изготовлении изделий из полимерных композитов. Оборудование для обезвреживания и очистки стоков.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№7, №8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7-8. Принципы охраны водной среды.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: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подготовить сообщение по теме: «Методы очистки промышленных сточных вод».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2.4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Твердые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отходы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 01, ОК 02, ОК 07, ОК 09, ОК 10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деятельности;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основные технологии утилизации твёрдых отходов; экологический эффект использования твёрдых отходов.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Основные технологии утилизации твердых отходов, образующихся при производстве изделий их полимерных композитов. Экологический эффект  использования твёрдых отходов.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№9, №10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9-10. Охрана недр и ландшафтов.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подготовить сообщение по теме: «Основные технологии утилизации твёрдых отходов»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35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2.5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Экологический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 01, ОК 02, ОК 07, ОК 09, ОК 10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3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деятельности;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принципы размещения производств химической промышленности,  требования минимизации, нейтрализации, сброса загрязняющих веществ, безотходности производства.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Принципы размещения производств химической промышленности. Экологически-безопасные производственные процессы, соответствующие требованиям минимизации, нейтрализации, сброса (выброса) загрязняющих веществ, безотходности производства, безопасности для здоровья промышленно производственного персонала, сокращения энергопотребления, эффективности.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Ресурсопотребление при производстве изделий из полимерных композитов. 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подготовить сообщение по теме «Основные принципы размещения производств химической промышленности»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 3. Система управления и контроля в области охраны окружающей среды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359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3.1. Юридические и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экономические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экологических основ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природопользования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 01, ОК 02, ОК 07, ОК 09, ОК 10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359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регламенты по экологической безопасности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источники экологического права, экологические правила и нормы, экологические права и обязанности.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Источники экологического права. Государственная политика и управление в области экологии. 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Лицензия. Договоры. Лимиты. Штрафы. Финансирование.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96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3.2.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Экологическая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стандартизация и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паспортизация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 01, ОК 02, ОК 06, ОК 10,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96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регламенты по экологической безопасности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составлять экологический паспорт предприятия.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Систему экологического контроля, систему стандартов; основные этапы проведения экологической экспертизы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Система экологического контроля при производстве изделий из полимерных композитов. Мониторинг окружающей среды на предприятиях химической промышленности. Система стандартов. Экологическая экспертиза. Экологическая сертификация. Экологический паспорт предприятия.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 занятия №11, №12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11-12. Работа с нормативно- правовой документацией  (ФЗ «Об охране окружающей среды, Конституция РФ, Уголовный кодекс РФ…)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 4. Международное сотрудничество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10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Государственные и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общественные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организации по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предотвращению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разрушающих</w:t>
            </w:r>
          </w:p>
          <w:p>
            <w:pPr>
              <w:pStyle w:val="Normal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воздействий на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природу</w:t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ОК 01, ОК 02, ОК 06, ОК 09, ОК 10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61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регламенты по экологической безопасности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охраны окружающей среды;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экологического регулирования;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производственного экологического контроля.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13-14. Государственные и общественные  мероприятия по предотвращению разрушающих воздействий на  природу. Природоохранный потенциал.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pacing w:val="-1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 в форме дифференцированного зачёта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firstLine="6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УСЛОВИЯ РЕАЛИЗАЦИИ ПРОГРАММЫ УЧЕБНОЙ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 xml:space="preserve"> Для реализации программы учебной дисциплины в ОГБПОУ КТТ предусмотрены следующие специальные помещения: кабинет «Экологические основы природопользования».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и рабочих мест кабинета экологических основ природопользования: 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рабочие столы  и стулья для обучающихся; 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рабочий стол и стул для преподавателя;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доска классная магнитно-маркерная; 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наглядные пособия; 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комплект учебно-методической документации. 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мультимедийный проектор;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-ноутбук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ОГБПОУ КТТ имеет печатные</w:t>
      </w:r>
      <w:r>
        <w:rPr>
          <w:rFonts w:ascii="Times New Roman" w:hAnsi="Times New Roman"/>
          <w:sz w:val="28"/>
          <w:szCs w:val="28"/>
        </w:rPr>
        <w:t xml:space="preserve"> и электронные образовательные и информационные ресурсы, рекомендуемые для использования в образовательном процессе </w:t>
      </w:r>
    </w:p>
    <w:p>
      <w:pPr>
        <w:pStyle w:val="Normal"/>
        <w:spacing w:lineRule="auto" w:line="240" w:before="0" w:after="0"/>
        <w:ind w:hanging="357"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2"/>
          <w:numId w:val="4"/>
        </w:numPr>
        <w:spacing w:before="120" w:after="120"/>
        <w:ind w:hanging="1325" w:left="1985"/>
        <w:contextualSpacing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Печатные издания: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Гальперин, М.В. Экологические основы природопользования [Текст]: Учеб. / М.В. Гальперин. - 2-е изд. испр. - М.:  Форум, 2019. - 256 с.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Саенко О.Е. Экологические основы природопользования: учебник / О.Е. Саенко, Т.П. Трушина. — Москва: КНОРУС, 2018. — 214 с. — (Среднее профессиональное образование)- с.276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Константинов В.М. Экологические основы природопользования: учеб. пособие для студ. учреждений сред. проф. образования/ В.М. Константинов, Ю.Б. Челидзе. – 5-е изд., стер. – М.; Академия, НМЦ СПО, 2020</w:t>
        <w:tab/>
        <w:t xml:space="preserve"> – с.247 </w:t>
      </w:r>
    </w:p>
    <w:p>
      <w:pPr>
        <w:pStyle w:val="ListParagraph"/>
        <w:numPr>
          <w:ilvl w:val="2"/>
          <w:numId w:val="5"/>
        </w:numPr>
        <w:shd w:val="clear" w:color="auto" w:fill="FFFFFF"/>
        <w:spacing w:before="120"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priroda.ru – национальный портал природы (Природные ресурсы и охрана окружающей среды)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anriintern.com/ecology/spisok.htm - ссылки на множество экологических сайтов.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www.myland.org.ua - земельные ресурсы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http://ecoportal.ru/ - мощный экологический портал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list.priroda.ru – каталог Интернет ресурсов по экологии и природным ресурсам.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http://ecobez.narod.ru/organisations.html - список основных международных организаций.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www.eco-net.dk/english – Eco-Network – международная сеть экологического образования, воспитания и практики; размещается информация об организациях, работающих в области экологического образования.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http://zapovednik.cwx.ru/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http://www.geosite.com.ru/pageid-375-1.html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http://www.bru.mogilev.by:84/humanitary/osnov_prava/html/ch15.html</w:t>
      </w:r>
    </w:p>
    <w:p>
      <w:pPr>
        <w:pStyle w:val="Normal"/>
        <w:spacing w:before="0"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3.2.3. Дополнительные источники:</w:t>
      </w:r>
    </w:p>
    <w:p>
      <w:pPr>
        <w:pStyle w:val="Normal"/>
        <w:shd w:val="clear" w:color="auto" w:fill="FFFFFF"/>
        <w:spacing w:lineRule="auto" w:line="240" w:before="0"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Журналы: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«Экология и жизнь», научно-популярный и образовательный журнал, Россия,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2.«Экология производства», ежемесячный научно-практический журнал, Россия,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3.«Экология и жизнь» периодический журнал, Россия, Москва.</w:t>
      </w:r>
    </w:p>
    <w:p>
      <w:pPr>
        <w:pStyle w:val="Normal"/>
        <w:spacing w:before="120" w:after="200"/>
        <w:ind w:left="360"/>
        <w:contextualSpacing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120" w:after="200"/>
        <w:ind w:left="360"/>
        <w:contextualSpacing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>
      <w:pPr>
        <w:pStyle w:val="Normal"/>
        <w:spacing w:before="120" w:after="200"/>
        <w:ind w:left="360"/>
        <w:contextualSpacing/>
        <w:rPr>
          <w:rFonts w:ascii="Times New Roman" w:hAnsi="Times New Roman" w:eastAsia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</w:r>
    </w:p>
    <w:tbl>
      <w:tblPr>
        <w:tblW w:w="9463" w:type="dxa"/>
        <w:jc w:val="left"/>
        <w:tblInd w:w="-1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3616"/>
        <w:gridCol w:w="2992"/>
        <w:gridCol w:w="2855"/>
      </w:tblGrid>
      <w:tr>
        <w:trPr>
          <w:trHeight w:val="593" w:hRule="atLeast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/>
                <w:b/>
                <w:bCs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Методы оценки</w:t>
            </w:r>
          </w:p>
        </w:tc>
      </w:tr>
      <w:tr>
        <w:trPr>
          <w:trHeight w:val="559" w:hRule="atLeast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Знания:</w:t>
            </w:r>
          </w:p>
        </w:tc>
      </w:tr>
      <w:tr>
        <w:trPr>
          <w:trHeight w:val="896" w:hRule="atLeast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Принципы взаимодействия живых организмов и среды обитания;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Условия устойчивого состояния экосистем;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Принципы и методы рационального природопользования;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Методы снижения хозяйственного воздействия на биосферу;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Методы экологического регулирования;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Организационные и правовые средства охраны окружающей среды.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Демонстрирует полноту знаний по освоенному материалу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Результаты выполнения тестового  задания</w:t>
            </w:r>
          </w:p>
        </w:tc>
      </w:tr>
      <w:tr>
        <w:trPr>
          <w:trHeight w:val="306" w:hRule="atLeast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Умения:</w:t>
            </w:r>
          </w:p>
        </w:tc>
      </w:tr>
      <w:tr>
        <w:trPr>
          <w:trHeight w:val="896" w:hRule="atLeast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  <w:p>
            <w:pPr>
              <w:pStyle w:val="Normal"/>
              <w:spacing w:before="120" w:after="120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в общем виде оценку антропогенного воздействия на окружающую среду с учетом специфики природно-климатических условий;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nl-NL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Полнота ответа, умение применять знания на практике, логичность изложения материла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nl-NL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nl-NL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12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cs="Times New Roman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435" w:hanging="435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615" w:hanging="435"/>
      </w:pPr>
      <w:rPr/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49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BodyText2"/>
    <w:semiHidden/>
    <w:qFormat/>
    <w:rsid w:val="004c49fe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styleId="Style14" w:customStyle="1">
    <w:name w:val="Абзац списка Знак"/>
    <w:link w:val="ListParagraph"/>
    <w:uiPriority w:val="99"/>
    <w:qFormat/>
    <w:locked/>
    <w:rsid w:val="004c49fe"/>
    <w:rPr>
      <w:sz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911c0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BodyText2">
    <w:name w:val="Body Text 2"/>
    <w:basedOn w:val="Normal"/>
    <w:link w:val="2"/>
    <w:semiHidden/>
    <w:unhideWhenUsed/>
    <w:qFormat/>
    <w:rsid w:val="004c49f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480" w:before="0" w:after="120"/>
    </w:pPr>
    <w:rPr>
      <w:rFonts w:ascii="Times New Roman" w:hAnsi="Times New Roman" w:eastAsia="Times New Roman"/>
      <w:bCs/>
      <w:sz w:val="28"/>
      <w:szCs w:val="28"/>
      <w:lang w:eastAsia="ru-RU"/>
    </w:rPr>
  </w:style>
  <w:style w:type="paragraph" w:styleId="ListParagraph">
    <w:name w:val="List Paragraph"/>
    <w:basedOn w:val="Normal"/>
    <w:link w:val="Style14"/>
    <w:uiPriority w:val="99"/>
    <w:qFormat/>
    <w:rsid w:val="004c49fe"/>
    <w:pPr>
      <w:suppressAutoHyphens w:val="false"/>
      <w:spacing w:lineRule="auto" w:line="240" w:before="120" w:after="120"/>
      <w:ind w:left="708"/>
    </w:pPr>
    <w:rPr>
      <w:rFonts w:ascii="Calibri" w:hAnsi="Calibri" w:eastAsia="Calibri" w:cs="" w:asciiTheme="minorHAnsi" w:cstheme="minorBidi" w:eastAsiaTheme="minorHAnsi" w:hAnsiTheme="minorHAnsi"/>
      <w:sz w:val="24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911c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LibreOffice/7.6.6.3$Linux_X86_64 LibreOffice_project/60$Build-3</Application>
  <AppVersion>15.0000</AppVersion>
  <Pages>15</Pages>
  <Words>1827</Words>
  <Characters>14230</Characters>
  <CharactersWithSpaces>16059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2023-06-30T08:08:00Z</dcterms:created>
  <dc:creator>User</dc:creator>
  <dc:description/>
  <dc:language>ru-RU</dc:language>
  <cp:lastModifiedBy/>
  <cp:lastPrinted>2024-09-12T11:15:56Z</cp:lastPrinted>
  <dcterms:modified xsi:type="dcterms:W3CDTF">2025-03-14T10:47:37Z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