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71" w:line="360" w:lineRule="atLeast"/>
        <w:shd w:val="clear" w:color="auto" w:fill="ffffff"/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pPr>
      <w:r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  <w:t xml:space="preserve">Образовательный проект в МБДОУ</w:t>
      </w:r>
      <w:r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pPr>
      <w:r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r>
      <w:r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pPr>
      <w:r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r>
      <w:r>
        <w:rPr>
          <w:rFonts w:ascii="Arial Black" w:hAnsi="Arial Black" w:eastAsia="Times New Roman" w:cs="Times New Roman"/>
          <w:b/>
          <w:bCs/>
          <w:color w:val="c00000"/>
          <w:sz w:val="44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c0066"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3146" cy="4887686"/>
                <wp:effectExtent l="19050" t="0" r="453" b="0"/>
                <wp:docPr id="1" name="Рисунок 3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4885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96pt;height:384.86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rebuchet MS" w:hAnsi="Trebuchet MS" w:eastAsia="Times New Roman" w:cs="Times New Roman"/>
          <w:b/>
          <w:bCs/>
          <w:color w:val="cc0066"/>
          <w:sz w:val="36"/>
          <w:szCs w:val="36"/>
        </w:rPr>
      </w:r>
    </w:p>
    <w:p>
      <w:pPr>
        <w:jc w:val="right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  <w:t xml:space="preserve">                         Составил:  </w:t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jc w:val="right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  <w:t xml:space="preserve">музыкальный руководитель </w:t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jc w:val="right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  <w:t xml:space="preserve">высшей квалификационной категории </w:t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  <w:t xml:space="preserve">                                  Отцевич Татьяна Владимировна</w:t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jc w:val="center"/>
        <w:spacing w:after="171" w:line="360" w:lineRule="atLeast"/>
        <w:shd w:val="clear" w:color="auto" w:fill="ffffff"/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  <w:t xml:space="preserve">2024г.</w:t>
      </w:r>
      <w:r>
        <w:rPr>
          <w:rFonts w:ascii="Trebuchet MS" w:hAnsi="Trebuchet MS" w:eastAsia="Times New Roman" w:cs="Times New Roman"/>
          <w:b/>
          <w:bCs/>
          <w:color w:val="c00000"/>
          <w:sz w:val="36"/>
          <w:szCs w:val="36"/>
        </w:rPr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Вид проекта: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информационно-творческий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Тип проекта: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долгосрочный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Участники проекта: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обучающиеся старшей группы, музыкальный руководитель, воспитатели, родители.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Образовательная область: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«Художественно-эстетическое развитие». Раздел «Музыкальная деятельность».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Интеграция образовательных областей: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«Познавательное развитие», «Речевое развитие», «Социально-коммуникативное развитие».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Срок реализации: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2024 -2025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 учебный год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Место реализации: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М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БДОУ д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етский сад 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№ 27«Чебурашка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»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 г.Клинцы Брянской области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Цель проекта: 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Формирование музыкально-слуховых представлений у детей старшей группы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Развивать у детей умения: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исполнять знакомые мелодии с сопровождением и без него;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воспроизводить хорошо знакомые попевки из 3-4 звуков на металлофоне;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подбирать по слуху, мало знакомые попевки.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Развить компетенции у педагогов и родителей для формирования музыкально-слуховых представлений у воспитанников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3.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Создать развивающую предметно-пространственную среду для развития музыкально-слуховых представлений у детей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Актуальность и педагогическая целесообразность: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Недостаточный уровень развития музыкально-слуховых представлений у детей старшей группы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Проектная деятельность – приоритетная форма взаимодействия с детьми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Музыкально-дидактические игры – эффективное средство развития музыкально-слуховых представлений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Низкий уровень компетентности родителей в вопросах формирования музыкально-слуховых представлений у детей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Недостаточный уровень компетентности воспитателей по проблеме развития музыкально-слуховых представлений у детей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Необходимость создания развивающей предметно-пространственной среды,способствующей развитию музыкально-слуховых представлений у детей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Прогнозируемые результаты: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- У детей сформированы умения: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исполнять знакомые мелодии с сопровождением и без него;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петь малознакомые мелодии с сопровождением и без него;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воспроизводить хорошо знакомые попевки из 3-4 звуков на металлофоне;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подбирать по слуху малознакомые попевки.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- У родителей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имеются знания и умения для создания условий в семье поформированию музыкально-слуховых представлений у детей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- У педагогов ДОУ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имеются необходимые компетенции для развития музыкально-слуховых представлений у воспитанников и создания соответствующих условий в ДОУ.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- Личные: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повышение профессионального мастерства, самообразование, саморазвитие; поиск и развитие педагогического сотрудничества с семьями воспитанников в вопросах формирования музыкально-слуховых представлений у детей.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Принципы построения педагогического процесса в ходе реализации проекта: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Принцип развивающего обучения: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Поддержка инициативы детей в музыкальной деятельности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Взаимодействие с семьями воспитанников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Формирование познавательных интересов и познавательных действий ребенка в деятельности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Возрастная адекватность образования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Обучение и воспитание в «зоне ближайшего развития» ребенка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Учет индивидуальных особенностей, индивидуальный подход во взаимодействии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-Сбалансированность репродуктивной, репродуктивно-вариативной, исследовательской деятельности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Принцип наглядности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3.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Принцип доступности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4.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Принцип интеграции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5.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Принцип системности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Материально-техническое и дидактическое оснащение проектной деятельности, ИКТ.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Материально-техническое: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приставка мультимедиа;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экран;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ноутбук;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музыкальные колонки;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пианино CASSIO;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Музыкально-дидактическое: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методические музыкальные пособия;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картотека ритмических заданий и упражнений;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</w:p>
    <w:p>
      <w:pPr>
        <w:pStyle w:val="665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31178" cy="2950028"/>
                <wp:effectExtent l="19050" t="0" r="2722" b="0"/>
                <wp:docPr id="2" name="Рисунок 38" descr="C:\Users\acer\Downloads\m26616d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C:\Users\acer\Downloads\m26616dba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537010" cy="295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56.79pt;height:232.29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музыкально-дидактические игры;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медиатека(компьютерные музыкально-дидактические игры и игровые задания);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детские музыкальные инструменты;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цветные иллюстрации по теме: «Ритмы и звуки» (автор методики Т.Боровик)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Атрибуты: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костюмы детские и взрослые;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маски;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Методы и приемы реализации проекта: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Практические </w:t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(упражнения, динамические паузы, музыкально-дидактические и подвижные игры с атрибутами);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Наглядные </w:t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(ритмические карточки, цветные иллюстрации ,видеоролики, схемы-таблицы, информированность в виде буклетов, папок -передвижек)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Методы стимулирования и мотивации </w:t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(похвала, поощрение, положительная оценка деятельности ребенка)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Тематические блоки проекта: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«Звуки высокие и низкие»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«Длительность музыкальных звуков»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3.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«Громко – тихо»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4.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«Музыкальные звуки дружат»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5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«Мы – музыканты»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Этапы реализации проекта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1. Подготовительный этап (сентябрь)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Цель: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выявление уровня сформированности музыкально-слуховых представлений у детей старшего дошкольного возраста.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2. Основной этап (октябрь-апрель)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Цель: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организация различных форм работы с детьми и родителями на основе проекта «Волшебный мир звуков». Пополнение предметно-развивающей среды в группе и в ДОУ.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3. Аналитический этап (май)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Цель: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Оценка эффективности форм и содержания реализации проектной деятельности. Совершенствование результатов проекта. Планирование дальнейшей работы в данном направлении.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86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a71e90"/>
          <w:sz w:val="36"/>
          <w:szCs w:val="36"/>
        </w:rPr>
      </w:pPr>
      <w:r>
        <w:rPr>
          <w:rFonts w:ascii="Trebuchet MS" w:hAnsi="Trebuchet MS" w:eastAsia="Times New Roman" w:cs="Times New Roman"/>
          <w:b/>
          <w:bCs/>
          <w:color w:val="a71e90"/>
          <w:sz w:val="36"/>
          <w:szCs w:val="36"/>
        </w:rPr>
        <w:t xml:space="preserve">План реализации проекта</w:t>
      </w:r>
      <w:r>
        <w:rPr>
          <w:rFonts w:ascii="Trebuchet MS" w:hAnsi="Trebuchet MS" w:eastAsia="Times New Roman" w:cs="Times New Roman"/>
          <w:b/>
          <w:bCs/>
          <w:color w:val="a71e90"/>
          <w:sz w:val="36"/>
          <w:szCs w:val="36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Сентябрь. Тема «Звуки высокие и низкие»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Совершенствовать навык различения звуков по высоте в пределах квинты;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Формировать умение петь легким звуком в диапазоне «ре» первой октавы до «до» второй октавы.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3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Учить детей исполнять простейшие мелодии на детских музыкальных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музыкально-дидактические игры: «Музыкальное лото», «Ступеньки», «Где мои детки?», «Угадай колокольчик», «Повтори звуки», «Три поросенка»;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непосредственно-образовательная деятельность: игра на детских музыкальных инструментах «Дон-Дон», «Пастушок», «Часики»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экспериментирование со звуками в «Детской лаборатории музыкальных звуков».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Октябрь. Тема «Звуки высокие и низкие»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Продолжать развивать у детей звуковысотный слух.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Формировать желание действовать с разнообразным дидактическим материалом, компьютерными играми.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концерт «Слушаем музыку»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викторина «музыкальная угадайка»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компьютерные музыкальные игры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72693" cy="2618047"/>
                <wp:effectExtent l="19050" t="0" r="0" b="0"/>
                <wp:docPr id="3" name="Рисунок 4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670554" cy="2616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7.93pt;height:206.15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Ноябрь. Тема «Короткие и длинные звуки»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Развивать чувство ритма.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Учить детей исполнять на детских музыкальных инструментах знакомые песенки индивидуально и небольшими группами, соблюдая при этом общий темп.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музыкально-дидактические игры: «Определи по ритму», «Ритмические полоски», «Учись танцевать», «Ищи», «Прогулка», «Наше путешествие», «Выполни задание».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непосредственно образовательная деятельность;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экспериментирование со звуками в «Детской лаборатории музыкальных звуков»;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игра на детских музыкальных инструментах «Небо синее», «Смелый пилот»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Декабрь. Тема «Короткие и длинные звуки».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Продолжать развивать у детей ритмический слух.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Формировать желание действовать с разнообразным дидактическим материалом, компьютерными играми.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досуг «Вечер музыкальных загадок»;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компьютерные музыкальные игры;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концерт «Веселые ритмы»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Январь. Тема: «Громко -тихо»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формировать умение петь умеренно, громко и тихо;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учить детей исполнять на детских музыкальных инструментах знакомые песенки индивидуально и небольшими группами, соблюдая при этом общую динамику.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музыкально-дидактические игры: «Громко-тихо запоем», «Звенящие колокольчики», «Колобок», «Найди щенка»;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непосредственно-образовательная деятельность;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экспериментирование со звуками в «Детской лаборатории музыкальных звуков»;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Февраль. Тема «Громко-тихо».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Формировать желание действовать с разнообразным дидактическим материалом, компьютерными играми.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музыкальная викторина «Такие разные звуки»;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компьютерные музыкальные игры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10548" cy="3952264"/>
                <wp:effectExtent l="19050" t="0" r="4352" b="0"/>
                <wp:docPr id="4" name="Рисунок 6" descr="https://kladraz.ru/upload/blogs2/2023/10/28065_bd4631284e2b880080bf8b29db4e77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kladraz.ru/upload/blogs2/2023/10/28065_bd4631284e2b880080bf8b29db4e7719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912933" cy="3954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86.66pt;height:311.2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Март. Тема «Музыкальные звуки дружат»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Совершенствовать навык различения звучания музыкальных инструментов(клавишно-ударные и струнные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Формировать певческие навыки,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музыкально-дидактические игры: «На чем играю?», «Музыкальные загадки»,»Музыкальный домик»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непосредственно-образовательная деятельность;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экспериментирование со звуками в «Детской лаборатории музыкальных звуков»;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музыкальный конкурс «Мы играем и поем».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Апрель. Тема «Музыкальные звуки дружат»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Формировать желание действовать с разнообразным дидактическим материалом, компьютерными играми.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квест - игра «В поисках микрофона»;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совместный досуг с родителями «папа, мама, я – музыкальная семья»;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977493" cy="3439886"/>
                <wp:effectExtent l="19050" t="0" r="0" b="0"/>
                <wp:docPr id="5" name="Рисунок 4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979101" cy="34409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91.93pt;height:270.86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both"/>
        <w:spacing w:after="34" w:line="240" w:lineRule="auto"/>
        <w:shd w:val="clear" w:color="auto" w:fill="ffffff"/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pP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  <w:t xml:space="preserve">Май. Тема «Мы - музыканты»</w:t>
      </w:r>
      <w:r>
        <w:rPr>
          <w:rFonts w:ascii="Trebuchet MS" w:hAnsi="Trebuchet MS" w:eastAsia="Times New Roman" w:cs="Times New Roman"/>
          <w:b/>
          <w:bCs/>
          <w:color w:val="39306f"/>
          <w:sz w:val="33"/>
          <w:szCs w:val="33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Дидактические задачи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1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Способствовать развитию навыков сольного пения, с музыкальным сопровождением и без него.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2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. Содействовать проявлению самостоятельности и творческому исполнению песен разного характера.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3.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Развивать песенный музыкальный вкус.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4.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Закреплять качество пения детей, точность интонирования, 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выразительность.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5.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 Формировать любимый песенный репертуар.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 - дидактические игры: «Будь внимательным», «Буратино», «Музыкальный магазин», «Наши песни»;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музыкальное развлечение «Путешествие в страну волшебных звуков»;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концерт «Моя любимая песня».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43301" cy="3418114"/>
                <wp:effectExtent l="19050" t="0" r="4899" b="0"/>
                <wp:docPr id="6" name="Рисунок 4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Picture background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647168" cy="3420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65.61pt;height:269.14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Формы и содержание работы: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i/>
          <w:iCs/>
          <w:color w:val="000000"/>
          <w:sz w:val="26"/>
        </w:rPr>
        <w:t xml:space="preserve">Работа с родителями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Консультационная поддержка родителей: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Выступление на родительском собрании «Развитие музыкальных способностей у детей дошкольного возраста»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Консультация «Как развить музыкально-слуховые представления у детей?»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Наглядное информирование «Развиваем детский голос правильно», «Что такое музыкальность»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Информирование посредством сайта ДОО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i/>
          <w:iCs/>
          <w:color w:val="000000"/>
          <w:sz w:val="26"/>
        </w:rPr>
        <w:t xml:space="preserve">Совместная деятельность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Традиционные формы: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i/>
          <w:iCs/>
          <w:color w:val="000000"/>
          <w:sz w:val="26"/>
          <w:szCs w:val="26"/>
          <w:shd w:val="clear" w:color="auto" w:fill="ffffff"/>
        </w:rPr>
        <w:t xml:space="preserve">Развлечения: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«Приключения музыкальных звуков»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Праздник «Путешествие на планету музыкальных звуков»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Новые формы: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Квест-игра «Секреты музыкальных звуков»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Мастер-класс «Условия музыкального развития ребенка в семье»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Фотовыставка «Ваш ребенок на музыкальном занятии»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Музыкальное развлечение «Музыкальный КВН»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Совместный досуг «Папа, мама, я – музыкальная семья!»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65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07860" cy="3211285"/>
                <wp:effectExtent l="19050" t="0" r="2240" b="0"/>
                <wp:docPr id="7" name="Рисунок 50" descr="C:\Users\acer\Downloads\IMG_20250307_092913_859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cer\Downloads\IMG_20250307_092913_859 (2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627074" cy="3224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62.82pt;height:252.86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b/>
          <w:bCs/>
          <w:i/>
          <w:iCs/>
          <w:color w:val="000000"/>
          <w:sz w:val="26"/>
        </w:rPr>
        <w:t xml:space="preserve">Работа с педагогами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Музыкальная гостиная. Беседа-концерт «Выразительные средства в музыке»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Практикум «Развитие музыкально-сенсорных способностей у педагогов»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Беседа «Роль воспитателя в самостоятельной музыкальной деятельности детей»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Консультация «Обновление предметно-развивающей среды в музыкальных уголках»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Совместное создание музыкальной фонотеки для использования музыки в режимных моментах и свободной деятельности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- Мастер-класс «Играем в музыкально-дидактические игры в группе»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6"/>
          <w:szCs w:val="26"/>
        </w:rPr>
      </w:pPr>
      <w:r>
        <w:rPr>
          <w:rFonts w:ascii="Arial" w:hAnsi="Arial" w:eastAsia="Times New Roman" w:cs="Arial"/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23115" cy="2884272"/>
                <wp:effectExtent l="19050" t="0" r="0" b="0"/>
                <wp:docPr id="8" name="Рисунок 14" descr="https://kladraz.ru/upload/blogs2/2023/10/28065_4922dc68fb7fe4a1966468b598dbe8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s://kladraz.ru/upload/blogs2/2023/10/28065_4922dc68fb7fe4a1966468b598dbe89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320594" cy="2882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19.14pt;height:227.11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rFonts w:ascii="Arial" w:hAnsi="Arial" w:eastAsia="Times New Roman" w:cs="Arial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b/>
          <w:bCs/>
          <w:color w:val="000000"/>
          <w:sz w:val="26"/>
        </w:rPr>
        <w:t xml:space="preserve">Список используемой литературы: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1. Ветлугина Н.А. Музыкальное воспитание в детском саду. – М.: Просвещение, 1981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2. Зацепина М.Б., Жукова Г.Е. Музыкальное воспитание в детском саду: Старшая группа. – М.: Мозаика-синтез, 2018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3. Картушина М.Ю. Вокально-хоровая работа в детском саду. – М.: издательство «Скрипторий 2003», 2012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4. Комиссарова Л. Н., Костина Э. П. Наглядные средства в музыкальном воспитании дошкольников: Пособие для воспитателей и муз. руководителей дет. садов.—М.: Просвещение, 1986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5. Кононова Н.Г. Музыкально-дидактические игры для дошкольников. – М.: Просвещение, 1982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6. Костина Э.П. Камертон: Программа музыкального образования детей раннего и дошкольного возраста. – М.: Просвещение, 2004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7. Костина Э.П. Музыкально-дидактические игры: метод. Пособие. – Ростов н/Д: Феникс, 2010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8. Костина Э.П. Управление качеством музыкального образования дошкольников на основе комплексного педагогического мониторинга: монография. – Нижний Новгород: «Дятловы горы», 2012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9. Михайлова М.А. Развитие музыкальных способностей детей. – Ярославль: Академия развития, 1997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10. Морозова Л.Д. Педагогическое проектирование в ДОУ. – М.: ТЦ Сфера, 2010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11. Радынова О.П. и др. Музыкальное воспитание дошкольников. – М.:Издательский центр «Академия», 200</w:t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"/>
          <w:szCs w:val="2"/>
        </w:rPr>
      </w:pPr>
      <w:r/>
      <w:hyperlink r:id="rId16" w:tooltip="https://yandex.ru/an/count/WlWejI_zOoVX2Lda0bKN01Cgezum0RrPLsXe1G5l1GHqwFEvtDcp_SwTx_hQ-VeThpVSuVha86mK8A8v21i521IvJrql8Ot0GKMgKeTerBMphgr5HaLrNTSqYeI6YeIeH7aKcaEZqkYHjKwYWMHaGybQL1Cj2ScW4jKrz8a_yQVKjecMX6HGYMnOYqWi8Ose5b6LacvGXuv6GEw0APjEABioXK2bXouWm0DdI33eE2AT3ORL1hDAg7IsE6Cf7aQorAa1wcXDE4chmM7uG1gJmvNIN0WI01eMe9K0a5o0LWB0mWAq4W0I5g2L031A0Le900SBq4fWbbY0LWApAGLe9J13B41h0LqQtDGHn40Z1MGbY2oIypKnPRis8Qr8LqvNAQ-8rOUm_-3r7hWcc3pXCWjq5Gxm9RqXX44D8XaiWdWUk27130xMd-rN82MVmdOakV52URb2HSI822bZJpPUFnPdi_j07nl0ViCtW0rSV-LDqq9y4zULMQahi-Ant01zr8XfNSVkUes-0V1FnnyGRn0gD5mk8a9qC1SZXWy900S3s3gWMtcBO0YRo09q94aMu9AyhoWOj1EYmAvKsLum9qdXsi7DbSDb5hOUgy-G4wZZ2q5JsCfaDUh5a9iwjXcZqp3c0EGM243k1rq0ffkKz-NbnzPE0aqzFnRNvFgnkEPEeGthYqMG-VsmJnDx--0SAzl_pR6o_TuSAzlFDM28ujyz4zQHhrqIV_siPy8wmZGJy6MMcKllaLxMiOnqemmDre1cQ4Nl6vJGOT5R6Zhhwn3VnDwyLFHbt_VOuy-J_PAiHKS_fZqO0QqfJjZyDySM7skxtzAwhajkyR6sUwtNSzE_sFcihsa2bIkLIgKC9urMx2MYyW-jNNLGmXw63m8V_4J6r2m41Ia2A1HYaB7f_Wqy7cslS0tx5vFADMpkF-GXMuNazvml7lwRi-x_46pwoxHB30iObluCNXQKQnWELSrZL2nkOR8jQf3DE4NmhMzHTuyklKgRF243~2?test-tag=492581209243665&amp;banner-sizes=eyI3MjA1NzYxMDgwMzc4NDc4NCI6IjczMngzMDAifQ%3D%3D&amp;ctime=1742205164084&amp;actual-format=8&amp;pcodever=1229696&amp;banner-test-tags=eyI3MjA1NzYxMDgwMzc4NDc4NCI6IjQyOTU3NDU1ODUifQ%3D%3D&amp;rendered-direct-assets=eyI3MjA1NzYxMDgwMzc4NDc4NCI6NDF9&amp;width=732&amp;height=300&amp;stat-id=19&amp;pcode-active-testids=1221181%2C0%2C38&amp;subDesignId=1000870003" w:history="1">
        <w:r>
          <w:rPr>
            <w:rFonts w:ascii="Arial" w:hAnsi="Arial" w:eastAsia="Times New Roman" w:cs="Arial"/>
            <w:color w:val="0000ff"/>
            <w:sz w:val="2"/>
            <w:u w:val="single"/>
          </w:rPr>
          <w:t xml:space="preserve">Узнать больше</w:t>
        </w:r>
      </w:hyperlink>
      <w:r/>
      <w:r>
        <w:rPr>
          <w:rFonts w:ascii="Arial" w:hAnsi="Arial" w:eastAsia="Times New Roman" w:cs="Arial"/>
          <w:color w:val="000000"/>
          <w:sz w:val="2"/>
          <w:szCs w:val="2"/>
        </w:rPr>
      </w:r>
    </w:p>
    <w:p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12. Радынова О.П., Комиссарова Л.Н. Теория и методика музыкального воспитания детей дошкольного возраста. – Дубна: Феникс, 2011.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13. Федеральный государственный образовательный стандарт дошкольного образования. – М.: УЦ Перспектива, 2014.</w:t>
      </w:r>
      <w:r>
        <w:rPr>
          <w:rFonts w:ascii="Arial" w:hAnsi="Arial" w:eastAsia="Times New Roman" w:cs="Arial"/>
          <w:color w:val="000000"/>
          <w:sz w:val="26"/>
          <w:szCs w:val="26"/>
        </w:rPr>
        <w:br/>
      </w:r>
      <w:r>
        <w:rPr>
          <w:rFonts w:ascii="Arial" w:hAnsi="Arial" w:eastAsia="Times New Roman" w:cs="Arial"/>
          <w:color w:val="000000"/>
          <w:sz w:val="26"/>
          <w:szCs w:val="26"/>
          <w:shd w:val="clear" w:color="auto" w:fill="ffffff"/>
        </w:rPr>
        <w:t xml:space="preserve">14. Федеральный закон об образовании в Российской Федерации №273-ФЗ от 29.12.2012 – Ростов н/Д: Легион, 2013.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Arial Black">
    <w:panose1 w:val="020B07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6"/>
    <w:uiPriority w:val="99"/>
  </w:style>
  <w:style w:type="character" w:styleId="45">
    <w:name w:val="Footer Char"/>
    <w:basedOn w:val="654"/>
    <w:link w:val="668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>
    <w:name w:val="Strong"/>
    <w:basedOn w:val="654"/>
    <w:uiPriority w:val="22"/>
    <w:qFormat/>
    <w:rPr>
      <w:b/>
      <w:bCs/>
    </w:rPr>
  </w:style>
  <w:style w:type="character" w:styleId="658">
    <w:name w:val="Hyperlink"/>
    <w:basedOn w:val="654"/>
    <w:uiPriority w:val="99"/>
    <w:semiHidden/>
    <w:unhideWhenUsed/>
    <w:rPr>
      <w:color w:val="0000ff"/>
      <w:u w:val="single"/>
    </w:rPr>
  </w:style>
  <w:style w:type="character" w:styleId="659" w:customStyle="1">
    <w:name w:val="be13a8e6f"/>
    <w:basedOn w:val="654"/>
  </w:style>
  <w:style w:type="character" w:styleId="660" w:customStyle="1">
    <w:name w:val="i750194d4"/>
    <w:basedOn w:val="654"/>
  </w:style>
  <w:style w:type="character" w:styleId="661" w:customStyle="1">
    <w:name w:val="dba070514"/>
    <w:basedOn w:val="654"/>
  </w:style>
  <w:style w:type="character" w:styleId="662" w:customStyle="1">
    <w:name w:val="ub132940"/>
    <w:basedOn w:val="654"/>
  </w:style>
  <w:style w:type="paragraph" w:styleId="663">
    <w:name w:val="Balloon Text"/>
    <w:basedOn w:val="653"/>
    <w:link w:val="6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4"/>
    <w:link w:val="663"/>
    <w:uiPriority w:val="99"/>
    <w:semiHidden/>
    <w:rPr>
      <w:rFonts w:ascii="Tahoma" w:hAnsi="Tahoma" w:cs="Tahoma"/>
      <w:sz w:val="16"/>
      <w:szCs w:val="16"/>
    </w:rPr>
  </w:style>
  <w:style w:type="paragraph" w:styleId="665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66">
    <w:name w:val="Header"/>
    <w:basedOn w:val="653"/>
    <w:link w:val="6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Верхний колонтитул Знак"/>
    <w:basedOn w:val="654"/>
    <w:link w:val="666"/>
    <w:uiPriority w:val="99"/>
    <w:semiHidden/>
  </w:style>
  <w:style w:type="paragraph" w:styleId="668">
    <w:name w:val="Footer"/>
    <w:basedOn w:val="653"/>
    <w:link w:val="66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Нижний колонтитул Знак"/>
    <w:basedOn w:val="654"/>
    <w:link w:val="668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hyperlink" Target="https://yandex.ru/an/count/WlWejI_zOoVX2Lda0bKN01Cgezum0RrPLsXe1G5l1GHqwFEvtDcp_SwTx_hQ-VeThpVSuVha86mK8A8v21i521IvJrql8Ot0GKMgKeTerBMphgr5HaLrNTSqYeI6YeIeH7aKcaEZqkYHjKwYWMHaGybQL1Cj2ScW4jKrz8a_yQVKjecMX6HGYMnOYqWi8Ose5b6LacvGXuv6GEw0APjEABioXK2bXouWm0DdI33eE2AT3ORL1hDAg7IsE6Cf7aQorAa1wcXDE4chmM7uG1gJmvNIN0WI01eMe9K0a5o0LWB0mWAq4W0I5g2L031A0Le900SBq4fWbbY0LWApAGLe9J13B41h0LqQtDGHn40Z1MGbY2oIypKnPRis8Qr8LqvNAQ-8rOUm_-3r7hWcc3pXCWjq5Gxm9RqXX44D8XaiWdWUk27130xMd-rN82MVmdOakV52URb2HSI822bZJpPUFnPdi_j07nl0ViCtW0rSV-LDqq9y4zULMQahi-Ant01zr8XfNSVkUes-0V1FnnyGRn0gD5mk8a9qC1SZXWy900S3s3gWMtcBO0YRo09q94aMu9AyhoWOj1EYmAvKsLum9qdXsi7DbSDb5hOUgy-G4wZZ2q5JsCfaDUh5a9iwjXcZqp3c0EGM243k1rq0ffkKz-NbnzPE0aqzFnRNvFgnkEPEeGthYqMG-VsmJnDx--0SAzl_pR6o_TuSAzlFDM28ujyz4zQHhrqIV_siPy8wmZGJy6MMcKllaLxMiOnqemmDre1cQ4Nl6vJGOT5R6Zhhwn3VnDwyLFHbt_VOuy-J_PAiHKS_fZqO0QqfJjZyDySM7skxtzAwhajkyR6sUwtNSzE_sFcihsa2bIkLIgKC9urMx2MYyW-jNNLGmXw63m8V_4J6r2m41Ia2A1HYaB7f_Wqy7cslS0tx5vFADMpkF-GXMuNazvml7lwRi-x_46pwoxHB30iObluCNXQKQnWELSrZL2nkOR8jQf3DE4NmhMzHTuyklKgRF243~2?test-tag=492581209243665&amp;banner-sizes=eyI3MjA1NzYxMDgwMzc4NDc4NCI6IjczMngzMDAifQ%3D%3D&amp;ctime=1742205164084&amp;actual-format=8&amp;pcodever=1229696&amp;banner-test-tags=eyI3MjA1NzYxMDgwMzc4NDc4NCI6IjQyOTU3NDU1ODUifQ%3D%3D&amp;rendered-direct-assets=eyI3MjA1NzYxMDgwMzc4NDc4NCI6NDF9&amp;width=732&amp;height=300&amp;stat-id=19&amp;pcode-active-testids=1221181%2C0%2C38&amp;subDesignId=10008700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Татьяна Отцевич</cp:lastModifiedBy>
  <cp:revision>6</cp:revision>
  <dcterms:created xsi:type="dcterms:W3CDTF">2025-03-17T09:53:00Z</dcterms:created>
  <dcterms:modified xsi:type="dcterms:W3CDTF">2025-03-17T10:32:37Z</dcterms:modified>
</cp:coreProperties>
</file>