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6C" w:rsidRDefault="00057C6C" w:rsidP="00057C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Консультация: Особенности организации познавательно-исследовательской деятельности дошкольника на разных возрастных этапах Дошкольный возраст – это период активного познания мира, когда дети начинают осваивать основные навыки и способы исследовательской деятельности. Организация познавательно-исследовательской деятельности в зависимости от возрастных особенностей детей – важный аспект работы дошкольных учреждений. Рассмотрим, как подойти к этой задаче на разных возрастных этапах. </w:t>
      </w:r>
    </w:p>
    <w:p w:rsidR="00057C6C" w:rsidRDefault="00057C6C" w:rsidP="00057C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1</w:t>
      </w:r>
      <w:r w:rsidRPr="00057C6C">
        <w:rPr>
          <w:rFonts w:ascii="Tahoma" w:eastAsia="Times New Roman" w:hAnsi="Tahoma" w:cs="Tahoma"/>
          <w:b/>
          <w:bCs/>
          <w:color w:val="2C2D2E"/>
          <w:sz w:val="36"/>
          <w:szCs w:val="36"/>
          <w:lang w:eastAsia="ru-RU"/>
        </w:rPr>
        <w:t>⃣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 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Возраст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1-3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года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: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Период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сенсомоторного развития </w:t>
      </w:r>
      <w:proofErr w:type="gramStart"/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В этом</w:t>
      </w:r>
      <w:proofErr w:type="gramEnd"/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возрасте дети активно исследуют мир через сенсорные впечатления и движения. Основные подходы: - Игровая среда: Создайте пространство, где могут быть разнообразные тактильные ощущения (песок, вода, текстуры). - Наблюдение: Дети учатся через наблюдение. Проводите много времени на улице, показывайте растения, насекомых и животных. - Манипуляции: Предоставьте детям безопасные предметы для исследования (кубики, шары, музыкальные игрушки), которые они могут трогать и исследовать. - Чтение книг и рассказов: Используйте яркие иллюстрации и простые тексты для развития интереса к окружающему миру.</w:t>
      </w:r>
    </w:p>
    <w:p w:rsidR="00057C6C" w:rsidRDefault="00057C6C" w:rsidP="00057C6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2</w:t>
      </w:r>
      <w:proofErr w:type="gramStart"/>
      <w:r w:rsidRPr="00057C6C">
        <w:rPr>
          <w:rFonts w:ascii="Tahoma" w:eastAsia="Times New Roman" w:hAnsi="Tahoma" w:cs="Tahoma"/>
          <w:b/>
          <w:bCs/>
          <w:color w:val="2C2D2E"/>
          <w:sz w:val="36"/>
          <w:szCs w:val="36"/>
          <w:lang w:eastAsia="ru-RU"/>
        </w:rPr>
        <w:t xml:space="preserve">⃣ 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Возраст</w:t>
      </w:r>
      <w:proofErr w:type="gramEnd"/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3-5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лет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: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Период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игровой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исследовательской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активности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В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этом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возрасте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дети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становятся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более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активными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в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исследовании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.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Они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могут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зада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вать вопросы и пробовать разные способы действий. Основные подходы: - Темы и проекты: Организуйте короткие проекты, связанные с темами, которые интересуют детей (животные, природа, транспорт). Это может быть исследование, прогулка, создание поделок. - Экспериментирование: Позвольте детям проводить 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lastRenderedPageBreak/>
        <w:t xml:space="preserve">простые эксперименты (например, изучение того, что плавает, а что тонет, реакция воды и соли). - Игровые роли: Используйте ролевые игры для разработки научного мышления (например, игра "Магазин", где дети могут сортировать и классифицировать продукты). - Вопросы: Стимулируйте детей задавать вопросы и самим находить на них ответы, поощряйте их любознательность. </w:t>
      </w:r>
    </w:p>
    <w:p w:rsidR="00057C6C" w:rsidRPr="00057C6C" w:rsidRDefault="00057C6C" w:rsidP="00057C6C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2C2D2E"/>
          <w:sz w:val="36"/>
          <w:szCs w:val="36"/>
          <w:lang w:eastAsia="ru-RU"/>
        </w:rPr>
      </w:pP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3</w:t>
      </w:r>
      <w:proofErr w:type="gramStart"/>
      <w:r w:rsidRPr="00057C6C">
        <w:rPr>
          <w:rFonts w:ascii="Tahoma" w:eastAsia="Times New Roman" w:hAnsi="Tahoma" w:cs="Tahoma"/>
          <w:b/>
          <w:bCs/>
          <w:color w:val="2C2D2E"/>
          <w:sz w:val="36"/>
          <w:szCs w:val="36"/>
          <w:lang w:eastAsia="ru-RU"/>
        </w:rPr>
        <w:t xml:space="preserve">⃣  </w:t>
      </w:r>
      <w:bookmarkStart w:id="0" w:name="_GoBack"/>
      <w:bookmarkEnd w:id="0"/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Возраст</w:t>
      </w:r>
      <w:proofErr w:type="gramEnd"/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5-7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лет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: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Период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начала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системного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мышления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В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этом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возрасте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дети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способны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к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более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сложному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  <w:r w:rsidRPr="00057C6C">
        <w:rPr>
          <w:rFonts w:ascii="Calibri Light" w:eastAsia="Times New Roman" w:hAnsi="Calibri Light" w:cs="Calibri Light"/>
          <w:b/>
          <w:bCs/>
          <w:color w:val="2C2D2E"/>
          <w:sz w:val="36"/>
          <w:szCs w:val="36"/>
          <w:lang w:eastAsia="ru-RU"/>
        </w:rPr>
        <w:t>анализ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у и синтезу информации. Основные подходы: - Исследовательские проекты: Дайте возможность детям работать над более сложными проектами, где они смогут самостоятельно планировать и исследовать (например, постройка экосистемы). - Научные эксперименты: Вводите более сложные эксперименты с безопасными материалами, позволяя детям делать выводы и фиксировать результаты. - Работа в группе: Поощряйте командную работу, где дети могут обмениваться идеями и экспериментировать вместе. - Информационные технологии: Вводите в процесс использования простых приложений для рисования, создания презентаций, которые помогут визуализировать результаты их исследований. Заключение Организация познавательно-исследовательской деятельности должна всегда учитывать индивидуальные особенности каждого ребенка и его потребности. Важно создать атмосферу, способствующую любознательности и исследовательскому духу. Используя подходы, соответствующие возрасту, вы не только развиваете познавательные навыки детей, но и формируете у них любовь к обучению и исследованиям, что заложит основу для дальнейшего образования. Рекомендации для педагогов: - Регулярно обновляйте образовательную среду, добавляя новые материалы и темы. - </w:t>
      </w:r>
      <w:r w:rsidRPr="00057C6C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lastRenderedPageBreak/>
        <w:t>Поддерживайте открытость и доступность для вопросов со стороны детей. - Сохраняйте интерес и увлеченность, показывая свои собственные увлечения и исследовательские активности.</w:t>
      </w:r>
    </w:p>
    <w:p w:rsidR="00EE4F27" w:rsidRDefault="00EE4F27"/>
    <w:sectPr w:rsidR="00EE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7A"/>
    <w:rsid w:val="00057C6C"/>
    <w:rsid w:val="0098537A"/>
    <w:rsid w:val="00E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7277"/>
  <w15:chartTrackingRefBased/>
  <w15:docId w15:val="{48C5BC9B-F54B-4739-91BB-BF6C95E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7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C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2025-03-19T10:02:00Z</dcterms:created>
  <dcterms:modified xsi:type="dcterms:W3CDTF">2025-03-19T10:03:00Z</dcterms:modified>
</cp:coreProperties>
</file>