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left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bookmarkStart w:id="0" w:name="_Toc41666984"/>
    <w:bookmarkStart w:id="1" w:name="_Toc41148377"/>
    <w:bookmarkStart w:id="2" w:name="_Toc41484069"/>
    <w:bookmarkStart w:id="3" w:name="_Toc42958279"/>
    <w:bookmarkStart w:id="4" w:name="_Toc183716495"/>
    <w:p>
      <w:pPr>
        <w:pStyle w:val="style0"/>
        <w:spacing w:after="0" w:lineRule="auto" w:line="240"/>
        <w:jc w:val="center"/>
        <w:outlineLvl w:val="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>Комплексный анализ</w:t>
      </w: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>исто</w:t>
      </w: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>чниковой</w:t>
      </w: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 xml:space="preserve"> базы и анализ</w:t>
      </w: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 xml:space="preserve"> источников по теме</w:t>
      </w: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>:</w:t>
      </w:r>
      <w:bookmarkEnd w:id="0"/>
      <w:bookmarkEnd w:id="1"/>
      <w:bookmarkEnd w:id="2"/>
      <w:bookmarkEnd w:id="3"/>
      <w:bookmarkEnd w:id="4"/>
    </w:p>
    <w:p>
      <w:pPr>
        <w:pStyle w:val="style0"/>
        <w:spacing w:after="0" w:lineRule="auto" w:line="240"/>
        <w:jc w:val="center"/>
        <w:outlineLvl w:val="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szCs w:val="32"/>
          <w:lang w:eastAsia="ru-RU"/>
        </w:rPr>
        <w:t>«Первый год Мировой войны в зеркале общественного мнения Российской Империи. 1914 - 1915 гг.»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</w:p>
    <w:bookmarkStart w:id="5" w:name="_Toc41666985"/>
    <w:bookmarkStart w:id="6" w:name="_Toc41148378"/>
    <w:bookmarkStart w:id="7" w:name="_Toc41484070"/>
    <w:bookmarkStart w:id="8" w:name="_Toc42958280"/>
    <w:bookmarkStart w:id="9" w:name="_Toc183716496"/>
    <w:p>
      <w:pPr>
        <w:pStyle w:val="style0"/>
        <w:spacing w:after="0" w:lineRule="auto" w:line="240"/>
        <w:jc w:val="right"/>
        <w:outlineLvl w:val="0"/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>Бялькин</w:t>
      </w: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 xml:space="preserve"> С</w:t>
      </w: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>С</w:t>
      </w:r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>.</w:t>
      </w:r>
      <w:bookmarkEnd w:id="5"/>
      <w:bookmarkEnd w:id="6"/>
      <w:bookmarkEnd w:id="7"/>
      <w:bookmarkEnd w:id="8"/>
      <w:bookmarkEnd w:id="9"/>
      <w:r>
        <w:rPr>
          <w:rFonts w:ascii="Times New Roman" w:cs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</w:pPr>
    </w:p>
    <w:p>
      <w:pPr>
        <w:pStyle w:val="style0"/>
        <w:spacing w:after="0" w:lineRule="auto" w:line="360"/>
        <w:jc w:val="both"/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</w:pPr>
    </w:p>
    <w:p>
      <w:pPr>
        <w:pStyle w:val="style0"/>
        <w:spacing w:after="0" w:lineRule="auto" w:line="360"/>
        <w:jc w:val="both"/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</w:pPr>
    </w:p>
    <w:p>
      <w:pPr>
        <w:pStyle w:val="style0"/>
        <w:spacing w:after="0" w:lineRule="auto" w:line="360"/>
        <w:jc w:val="both"/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</w:pPr>
    </w:p>
    <w:p>
      <w:pPr>
        <w:pStyle w:val="style0"/>
        <w:spacing w:after="0" w:lineRule="auto" w:line="360"/>
        <w:jc w:val="both"/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</w:pPr>
    </w:p>
    <w:p>
      <w:pPr>
        <w:pStyle w:val="style0"/>
        <w:spacing w:after="0" w:lineRule="auto" w:line="360"/>
        <w:jc w:val="both"/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</w:pPr>
    </w:p>
    <w:p>
      <w:pPr>
        <w:pStyle w:val="style0"/>
        <w:spacing w:after="0" w:lineRule="auto" w:line="360"/>
        <w:jc w:val="both"/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</w:pPr>
    </w:p>
    <w:p>
      <w:pPr>
        <w:pStyle w:val="style0"/>
        <w:spacing w:after="0" w:lineRule="auto" w:line="360"/>
        <w:jc w:val="both"/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</w:pPr>
    </w:p>
    <w:p>
      <w:pPr>
        <w:pStyle w:val="style0"/>
        <w:spacing w:after="0" w:lineRule="auto" w:line="360"/>
        <w:jc w:val="both"/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  <w:t>Такое большое событие как Первая Мировая Война несомненно нашла отражение в работах многих авторов</w:t>
      </w:r>
      <w:r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  <w:t>,</w:t>
      </w:r>
      <w:r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  <w:t xml:space="preserve"> но чтобы проанализировать общественное мнение того времени необходимо подбирать специальные источники. По </w:t>
      </w:r>
      <w:r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  <w:t>некоторым</w:t>
      </w:r>
      <w:r>
        <w:rPr>
          <w:rFonts w:ascii="Times New Roman" w:cs="Calibri" w:eastAsia="Calibri" w:hAnsi="Times New Roman"/>
          <w:color w:val="000000"/>
          <w:sz w:val="28"/>
          <w:szCs w:val="28"/>
          <w:u w:color="000000"/>
          <w:lang w:eastAsia="ru-RU"/>
        </w:rPr>
        <w:t xml:space="preserve"> из которых будет проведен анализ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Н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ужно отметить, что российское общественное мнение в годы войны чаще всего рассматривается в контексте предпосылок и причин революции 1917 года, либо упадка монархии в целом. Также в литературе можно встретить проведение параллелей между общественной мыслью Росси и других воюющих стран (Юдин Н.В. «Патриотический подъём в странах Антанты в начале Первой мировой войны»).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Некоторые исследователи концентрируют своё внимание на таких деталях как благотворительные организации, или институт сестёр милосердия в годы войны (А.С. Туманова «Общественные организации России в годы Первой мировой войны (1914-февраль 1917 г.», «Общины сестер милосердия Российской империи в 1844-1917 гг.» под редакцией А. Пастернака), военная цензура и прочее.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Отдельного внимания заслуживают исследования, посвящённые изучению печати и феномену информационной войны в контексте войны мировой. Здесь можно упомянуть работу Е.Г. </w:t>
      </w:r>
      <w:r>
        <w:rPr>
          <w:rFonts w:ascii="Times New Roman" w:cs="Times New Roman" w:hAnsi="Times New Roman"/>
          <w:sz w:val="28"/>
          <w:szCs w:val="28"/>
          <w:lang w:eastAsia="ru-RU"/>
        </w:rPr>
        <w:t>Костриковой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«Россия на пороге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информационных войн. Политика российского правительства в сфере СМИ в начале </w:t>
      </w:r>
      <w:r>
        <w:rPr>
          <w:rFonts w:ascii="Times New Roman" w:cs="Times New Roman" w:hAnsi="Times New Roman"/>
          <w:sz w:val="28"/>
          <w:szCs w:val="28"/>
          <w:lang w:val="en-US" w:eastAsia="ru-RU"/>
        </w:rPr>
        <w:t>XX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века». Фундаментальную работу «1914-1918. Слухи, образы, эмоции» написал Владимир Аксёнов. Некоторые исследователи выходят за типичные для данной темы рамки и изучают частные случаи вроде журнальной сатиры – Пётр Баратов и Татьяна Филиппова «1914-1918. Великая война и великая революция в русской журнальной сатире».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Calibri" w:hAnsi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Интерес представляют исследования, анализирующие не столько саму войну, сколько императорскую фамилию на её фоне (Борис </w:t>
      </w:r>
      <w:r>
        <w:rPr>
          <w:rFonts w:ascii="Times New Roman" w:cs="Times New Roman" w:hAnsi="Times New Roman"/>
          <w:sz w:val="28"/>
          <w:szCs w:val="28"/>
          <w:lang w:eastAsia="ru-RU"/>
        </w:rPr>
        <w:t>Колоницкий</w:t>
      </w:r>
      <w:r>
        <w:rPr>
          <w:rFonts w:ascii="Times New Roman" w:cs="Times New Roman" w:hAnsi="Times New Roman"/>
          <w:sz w:val="28"/>
          <w:szCs w:val="28"/>
          <w:lang w:eastAsia="ru-RU"/>
        </w:rPr>
        <w:t>, «Трагическая эротика.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>Образы императорской семьи в годы Первой мировой войны»).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Эмигрантская историческая школа в попытках осмыслить произошедшее за годы войны и революции не анализирует поведение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российского общества, а советская рассматривает его в связке с революционным движением. </w:t>
      </w:r>
      <w:r>
        <w:rPr>
          <w:rFonts w:ascii="Times New Roman" w:cs="Times New Roman" w:eastAsia="Calibri" w:hAnsi="Times New Roman"/>
          <w:color w:val="000000"/>
          <w:sz w:val="28"/>
          <w:szCs w:val="28"/>
          <w:u w:color="000000"/>
          <w:lang w:eastAsia="ru-RU"/>
        </w:rPr>
        <w:t xml:space="preserve"> 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Calibri" w:hAnsi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cs="Times New Roman" w:eastAsia="Calibri" w:hAnsi="Times New Roman"/>
          <w:color w:val="000000"/>
          <w:sz w:val="28"/>
          <w:szCs w:val="28"/>
          <w:u w:color="000000"/>
          <w:lang w:eastAsia="ru-RU"/>
        </w:rPr>
        <w:t>Одним из примеров источников позволяющих нам разобраться в теме, это различные статьи одна из которых принадлежит А. Е. Лазаревичу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А.Е. Лазаревич в своей статье «Европейское общество перед первой мировой войной: уловки пропаганды и коллективные психозы» доказал, что с общественностью страны-участницы первой мировой войны начали работать еще до начала военного конфликта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В частности, автором отмечались следующие психологические приемы по работе с общественными массами. Первый прием заключался в накладывании на родную страну образа «маленькой, но гордой страны», которая была окружена врагами. И чтобы не допустить катастрофы, граждан толкали к мыслям о том, что нужно ударить первым по врагам отечества. Второй прием достаточно стар и он дополнял первый прием – народу давался образ «врага», которого нужно было победить. Все это закреплялось сетью клубов, союзов и обществ, которые поддерживали эту </w:t>
      </w:r>
      <w:r>
        <w:rPr>
          <w:rFonts w:ascii="Times New Roman" w:cs="Times New Roman" w:hAnsi="Times New Roman"/>
          <w:sz w:val="28"/>
          <w:szCs w:val="28"/>
          <w:lang w:eastAsia="ru-RU"/>
        </w:rPr>
        <w:t>провоенную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направленность.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Также для разбора темы можно использовать различные новостные ресурсы </w:t>
      </w:r>
      <w:bookmarkStart w:id="10" w:name="_GoBack"/>
      <w:bookmarkEnd w:id="10"/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№ 143 «Московских ведомостей» содержал на первой же странице статью «Австрия на распутье», в которой, выражая соболезнование и понимание австрийцам, осуждал обвинения в адрес Сербии: «Возмутительное, </w:t>
      </w:r>
      <w:r>
        <w:rPr>
          <w:rFonts w:ascii="Times New Roman" w:cs="Times New Roman" w:hAnsi="Times New Roman"/>
          <w:sz w:val="28"/>
          <w:szCs w:val="28"/>
          <w:lang w:eastAsia="ru-RU"/>
        </w:rPr>
        <w:t>гнусное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убийство наследника австрийского престола боснийскими фанатиками могло на минуту затуманить головы австрийцев, но оно не давало им права и повода набрасываться с такими обвинениями на другие государства, какие позволили себе близкие к покойному лица в официозных органах»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Так</w:t>
      </w:r>
      <w:r>
        <w:rPr>
          <w:rFonts w:ascii="Times New Roman" w:cs="Times New Roman" w:hAnsi="Times New Roman"/>
          <w:sz w:val="28"/>
          <w:szCs w:val="28"/>
          <w:lang w:eastAsia="ru-RU"/>
        </w:rPr>
        <w:t>же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«Московские ведомости» называют происходящее не иначе как «преступление против человечества». Примечательно, что газета уже предрекает Европе многие беды и чётко определяет виновника: « … пока никто не может сказать, будут ли европейские народы избавлены от тех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бедствий, которые готовы </w:t>
      </w:r>
      <w:r>
        <w:rPr>
          <w:rFonts w:ascii="Times New Roman" w:cs="Times New Roman" w:hAnsi="Times New Roman"/>
          <w:sz w:val="28"/>
          <w:szCs w:val="28"/>
          <w:lang w:eastAsia="ru-RU"/>
        </w:rPr>
        <w:t>обрушится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на них по вине австрийского правительства». </w:t>
      </w:r>
      <w:r>
        <w:rPr>
          <w:rFonts w:ascii="Times New Roman" w:cs="Times New Roman" w:hAnsi="Times New Roman"/>
          <w:sz w:val="28"/>
          <w:szCs w:val="28"/>
          <w:lang w:eastAsia="ru-RU"/>
        </w:rPr>
        <w:t>Далее в этой газетной статье пишется о вполне явной роли Германии в кризисе, которая «по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старому рецепту князя Бисмарка» спешит переложить ответственность за европейский пожар на Россию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Большой интерес для исследования заданной темы представляют рассказы самих солдат. </w:t>
      </w:r>
      <w:r>
        <w:rPr>
          <w:rFonts w:ascii="Times New Roman" w:cs="Times New Roman" w:hAnsi="Times New Roman"/>
          <w:sz w:val="28"/>
          <w:szCs w:val="28"/>
          <w:lang w:eastAsia="ru-RU"/>
        </w:rPr>
        <w:t>Уникальным источником служат рассказы раненных, записанные сёстрами милосердия в госпиталях, так как эти повествования не отредактированы цензурой и позволяют воспроизвести самые свежие воспоминания, обусловленные совсем недавним опытом участия в боевых действиях.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Такие рассказчики могут не только сполна передать информацию от первого лица, но и дать нам понять, что конкретно чувствует солдат на войне. 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 xml:space="preserve">Из рассказа Ивана Ивановича Волкова, рядового 71-го пехотного </w:t>
      </w:r>
      <w:r>
        <w:rPr>
          <w:rFonts w:ascii="Times New Roman" w:cs="Times New Roman" w:hAnsi="Times New Roman"/>
          <w:sz w:val="28"/>
          <w:szCs w:val="28"/>
          <w:lang w:eastAsia="ru-RU"/>
        </w:rPr>
        <w:t>Балевского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полка, стоявшего в августе 1914 года в </w:t>
      </w:r>
      <w:r>
        <w:rPr>
          <w:rFonts w:ascii="Times New Roman" w:cs="Times New Roman" w:hAnsi="Times New Roman"/>
          <w:sz w:val="28"/>
          <w:szCs w:val="28"/>
          <w:lang w:eastAsia="ru-RU"/>
        </w:rPr>
        <w:t>Люблинской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губернии. В повествовании этого рядового мы встречаем сразу несколько моментов, касавшихся армейского быта и мнения солдат на начальном этапе войны. Во-первых, рассказчик свидетельствует об установившемся в рядах армии единении рядового и офицерского корпуса. Так, Волков рассказывает о том, как офицер присоединился к солдатской трапезе, что вызвало некоторое замешательство у рядовых: «…ну, конечно, мы всё достали и думали, что он [офицер] отдельно </w:t>
      </w:r>
      <w:r>
        <w:rPr>
          <w:rFonts w:ascii="Times New Roman" w:cs="Times New Roman" w:hAnsi="Times New Roman"/>
          <w:sz w:val="28"/>
          <w:szCs w:val="28"/>
          <w:lang w:eastAsia="ru-RU"/>
        </w:rPr>
        <w:t>будет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есть (вообще, как военная служба нас заставляет), а он захотел с нами вместе и говорит: «Что же, разве я не такой человек?»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Во-вторых, в этом рассказе выражается непредвзятое мнение обычного рядового о том, кто против кого воюет. Так, солдаты заинтересовались австрийскими военнопленными, которых проводило мимо, и решили поинтересоваться у одного из них, говорит ли он по-русски, на что тот ответил положительно, добавив, что он «русский почти человек!» Далее Волков говорит: «И по наружности – он </w:t>
      </w:r>
      <w:r>
        <w:rPr>
          <w:rFonts w:ascii="Times New Roman" w:cs="Times New Roman" w:hAnsi="Times New Roman"/>
          <w:sz w:val="28"/>
          <w:szCs w:val="28"/>
          <w:lang w:eastAsia="ru-RU"/>
        </w:rPr>
        <w:t>совсем русский</w:t>
      </w:r>
      <w:r>
        <w:rPr>
          <w:rFonts w:ascii="Times New Roman" w:cs="Times New Roman" w:hAnsi="Times New Roman"/>
          <w:sz w:val="28"/>
          <w:szCs w:val="28"/>
          <w:lang w:eastAsia="ru-RU"/>
        </w:rPr>
        <w:t xml:space="preserve"> человек. Значит, мы вообразили все, что идём брат на брата…»</w:t>
      </w:r>
    </w:p>
    <w:p>
      <w:pPr>
        <w:pStyle w:val="style0"/>
        <w:spacing w:lineRule="auto" w:line="360"/>
        <w:rPr>
          <w:rFonts w:ascii="Times New Roman" w:cs="Times New Roman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t>Все вышеперечисленные примеры могут позволить нам более четко понять общественное мнение того времени</w:t>
      </w:r>
    </w:p>
    <w:p>
      <w:pPr>
        <w:pStyle w:val="style0"/>
        <w:spacing w:after="0" w:lineRule="auto" w:line="360"/>
        <w:jc w:val="both"/>
        <w:rPr>
          <w:rFonts w:ascii="Times New Roman" w:cs="Times New Roman" w:eastAsia="Calibri" w:hAnsi="Times New Roman"/>
          <w:color w:val="000000"/>
          <w:sz w:val="28"/>
          <w:szCs w:val="28"/>
          <w:u w:color="000000"/>
          <w:lang w:eastAsia="ru-RU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Sylfaen">
    <w:altName w:val="Sylfaen"/>
    <w:panose1 w:val="010a0502050003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DE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29">
    <w:name w:val="footnote text"/>
    <w:basedOn w:val="style0"/>
    <w:next w:val="style29"/>
    <w:link w:val="style4097"/>
    <w:uiPriority w:val="99"/>
    <w:pPr>
      <w:spacing w:after="0" w:lineRule="auto" w:line="240"/>
      <w:ind w:left="709" w:firstLine="709"/>
      <w:jc w:val="both"/>
    </w:pPr>
    <w:rPr>
      <w:rFonts w:ascii="Times New Roman" w:cs="Times New Roman" w:hAnsi="Times New Roman"/>
      <w:sz w:val="20"/>
      <w:szCs w:val="20"/>
    </w:rPr>
  </w:style>
  <w:style w:type="character" w:customStyle="1" w:styleId="style4097">
    <w:name w:val="Текст сноски Знак"/>
    <w:basedOn w:val="style65"/>
    <w:next w:val="style4097"/>
    <w:link w:val="style29"/>
    <w:uiPriority w:val="99"/>
    <w:rPr>
      <w:rFonts w:ascii="Times New Roman" w:cs="Times New Roman" w:hAnsi="Times New Roman"/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800</Words>
  <Pages>5</Pages>
  <Characters>5129</Characters>
  <Application>WPS Office</Application>
  <DocSecurity>0</DocSecurity>
  <Paragraphs>38</Paragraphs>
  <ScaleCrop>false</ScaleCrop>
  <Company>SPecialiST RePack</Company>
  <LinksUpToDate>false</LinksUpToDate>
  <CharactersWithSpaces>5964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2025-01-16T19:32:00Z</dcterms:created>
  <dc:creator>­</dc:creator>
  <lastModifiedBy>23021RAA2Y</lastModifiedBy>
  <dcterms:modified xsi:type="dcterms:W3CDTF">2025-03-30T22:11:22Z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66f162806bf6464a93608ebdfc10ddcc</vt:lpwstr>
  </property>
</Properties>
</file>