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3CE" w:rsidRDefault="008D33CE" w:rsidP="008D33CE">
      <w:pPr>
        <w:spacing w:after="9" w:line="270" w:lineRule="auto"/>
        <w:ind w:left="10" w:right="46" w:hanging="10"/>
        <w:jc w:val="center"/>
      </w:pPr>
      <w:r>
        <w:rPr>
          <w:b/>
        </w:rPr>
        <w:t xml:space="preserve">СОВРЕМЕННАЯ ПРАКТИКА НАСТАВНИЧЕСТВА  </w:t>
      </w:r>
    </w:p>
    <w:p w:rsidR="008D33CE" w:rsidRDefault="008D33CE" w:rsidP="008D33CE">
      <w:pPr>
        <w:spacing w:after="9" w:line="270" w:lineRule="auto"/>
        <w:ind w:left="10" w:right="57" w:hanging="10"/>
        <w:jc w:val="center"/>
      </w:pPr>
      <w:r>
        <w:rPr>
          <w:b/>
        </w:rPr>
        <w:t xml:space="preserve">В ПРОФЕССИОНАЛЬНОМ СТАНОВЛЕНИИ  </w:t>
      </w:r>
    </w:p>
    <w:p w:rsidR="008D33CE" w:rsidRDefault="008D33CE" w:rsidP="008D33CE">
      <w:pPr>
        <w:spacing w:after="102" w:line="270" w:lineRule="auto"/>
        <w:ind w:left="10" w:right="48" w:hanging="10"/>
        <w:jc w:val="center"/>
      </w:pPr>
      <w:r>
        <w:rPr>
          <w:b/>
        </w:rPr>
        <w:t xml:space="preserve">БУДУЩЕГО УЧИТЕЛЯ  </w:t>
      </w:r>
    </w:p>
    <w:p w:rsidR="008D33CE" w:rsidRDefault="008D33CE" w:rsidP="008D33CE">
      <w:pPr>
        <w:spacing w:after="24" w:line="246" w:lineRule="auto"/>
        <w:ind w:left="-15" w:right="40" w:firstLine="0"/>
      </w:pPr>
      <w:r>
        <w:rPr>
          <w:b/>
          <w:sz w:val="18"/>
        </w:rPr>
        <w:t>КЛЮЧЕВЫЕ СЛОВА:</w:t>
      </w:r>
      <w:r>
        <w:rPr>
          <w:sz w:val="18"/>
        </w:rPr>
        <w:t xml:space="preserve"> профессиональное становление; подготовка будущих учителей; студенты-педагоги; наставничество; образовательные технологии; образовательные результаты </w:t>
      </w:r>
    </w:p>
    <w:p w:rsidR="008D33CE" w:rsidRPr="008D33CE" w:rsidRDefault="008D33CE" w:rsidP="008D33CE">
      <w:pPr>
        <w:spacing w:after="130" w:line="246" w:lineRule="auto"/>
        <w:ind w:left="-15" w:right="40" w:firstLine="0"/>
      </w:pPr>
      <w:r>
        <w:rPr>
          <w:b/>
          <w:sz w:val="18"/>
        </w:rPr>
        <w:t xml:space="preserve">АННОТАЦИЯ. </w:t>
      </w:r>
      <w:r>
        <w:rPr>
          <w:sz w:val="18"/>
        </w:rPr>
        <w:t xml:space="preserve">В статье рассматривается наставничество как технология, направленная на профессиональное становление будущего учителя. Актуализируется значимость подготовки будущего учителя, способного обеспечить новое качество образования (достижение обучающимися функциональной грамотности, универсальных учебных действий). Описаны стадии профессионального становления будущего учителя и современная практика наставничества, организованная на профессионально-образовательных и предметно-методических площадках. </w:t>
      </w:r>
      <w:bookmarkStart w:id="0" w:name="_GoBack"/>
      <w:bookmarkEnd w:id="0"/>
      <w:r w:rsidRPr="008D33CE">
        <w:rPr>
          <w:rFonts w:ascii="Calibri" w:eastAsia="Calibri" w:hAnsi="Calibri" w:cs="Calibri"/>
        </w:rPr>
        <w:tab/>
      </w:r>
      <w:r w:rsidRPr="008D33CE">
        <w:rPr>
          <w:b/>
        </w:rPr>
        <w:t xml:space="preserve"> </w:t>
      </w:r>
    </w:p>
    <w:p w:rsidR="008D33CE" w:rsidRDefault="008D33CE" w:rsidP="008D33CE">
      <w:pPr>
        <w:ind w:left="-15" w:right="38"/>
      </w:pPr>
      <w:r>
        <w:t xml:space="preserve">Запрос на новое качество образования определен Указом Президента В. В. Путина, в части достижения стратегической цели образования по вхождению Российской Федерации в число десяти ведущих стран мира по качеству общего образования [5]. </w:t>
      </w:r>
    </w:p>
    <w:p w:rsidR="008D33CE" w:rsidRDefault="008D33CE" w:rsidP="008D33CE">
      <w:pPr>
        <w:spacing w:after="0"/>
        <w:ind w:left="-15" w:right="38"/>
      </w:pPr>
      <w:r>
        <w:t xml:space="preserve">Возникает проблема – будущий учитель способен ли обеспечить достижение обучающимися новых образовательных результатов? Возможно </w:t>
      </w:r>
      <w:proofErr w:type="gramStart"/>
      <w:r>
        <w:t>ли</w:t>
      </w:r>
      <w:proofErr w:type="gramEnd"/>
      <w:r>
        <w:t xml:space="preserve"> не используя новые технологии обучения достичь новых результатов образования? Какие новые технологии в подготовке будущего учителя актуальны и мотивируют его на непрерывное профессиональное развитие и овладение педагогической профессией на уровне мастерства?  </w:t>
      </w:r>
    </w:p>
    <w:p w:rsidR="008D33CE" w:rsidRDefault="008D33CE" w:rsidP="008D33CE">
      <w:pPr>
        <w:ind w:left="-15" w:right="38"/>
      </w:pPr>
      <w:r>
        <w:t xml:space="preserve">Модернизация Российского педагогического образования направлена на обеспечение нового качества образования. В условиях модернизации системы образования в России система наставничества выступает: </w:t>
      </w:r>
    </w:p>
    <w:p w:rsidR="008D33CE" w:rsidRDefault="008D33CE" w:rsidP="008D33CE">
      <w:pPr>
        <w:numPr>
          <w:ilvl w:val="0"/>
          <w:numId w:val="1"/>
        </w:numPr>
        <w:ind w:right="38"/>
      </w:pPr>
      <w:r>
        <w:t xml:space="preserve">как технология повышения качества образования, способная обеспечить достижение новых образовательных результатов, как у будущих учителей, так и обучающихся образовательных организаций; – как механизм адаптации молодых педагогов. </w:t>
      </w:r>
    </w:p>
    <w:p w:rsidR="008D33CE" w:rsidRDefault="008D33CE" w:rsidP="008D33CE">
      <w:pPr>
        <w:spacing w:after="0"/>
        <w:ind w:left="-15" w:right="38"/>
      </w:pPr>
      <w:r>
        <w:t xml:space="preserve">Необходимы новые модели подготовки, которые учитывают положительный отечественный ресурс и современные вызовы трансформации общества. Существенным потенциалом преобразований в подготовке будущего учителя обладает новый, </w:t>
      </w:r>
      <w:proofErr w:type="spellStart"/>
      <w:r>
        <w:t>экосистемный</w:t>
      </w:r>
      <w:proofErr w:type="spellEnd"/>
      <w:r>
        <w:t xml:space="preserve"> подход. Образовательные экосистемы направлены на подготовку молодого поколения к жизни в быстро меняющемся мире. Культурно обусловленными становятся и новые требования к результатам образования (запрос на массовость креативных компетенций и на массовую адаптивность к новым условиям, мотивация, интерес, склонности обучающихся рассматриваются как ресурс). При разработке новых инновационных образовательных, педагогических систем, следует применить кроме ранее известных подходов, новый </w:t>
      </w:r>
      <w:proofErr w:type="spellStart"/>
      <w:r>
        <w:t>экосистемный</w:t>
      </w:r>
      <w:proofErr w:type="spellEnd"/>
      <w:r>
        <w:t xml:space="preserve"> подход [4]. </w:t>
      </w:r>
    </w:p>
    <w:p w:rsidR="008D33CE" w:rsidRDefault="008D33CE" w:rsidP="008D33CE">
      <w:pPr>
        <w:ind w:left="-15" w:right="38"/>
      </w:pPr>
      <w:r>
        <w:t xml:space="preserve">Становится актуальным разработка новой модели организации педагогической деятельности, преподавателя, университета в условиях </w:t>
      </w:r>
      <w:proofErr w:type="spellStart"/>
      <w:r>
        <w:t>цифровизации</w:t>
      </w:r>
      <w:proofErr w:type="spellEnd"/>
      <w:r>
        <w:t xml:space="preserve"> высшего образования. При этом ключевой фигурой трансформации является педагог, особенно возрастает важность роли наставника. Именно наставническая деятельность направлена на обретение смыслов в профессиональном становлении будущего учителя. При этом следует учесть то, что при реализации </w:t>
      </w:r>
      <w:proofErr w:type="spellStart"/>
      <w:r>
        <w:t>компетентностого</w:t>
      </w:r>
      <w:proofErr w:type="spellEnd"/>
      <w:r>
        <w:t xml:space="preserve"> подхода такая модель включала в себе следующие виды педагогической деятельности: организация учебного процесса; преподавание; воспитание и </w:t>
      </w:r>
      <w:proofErr w:type="spellStart"/>
      <w:r>
        <w:t>внеучебная</w:t>
      </w:r>
      <w:proofErr w:type="spellEnd"/>
      <w:r>
        <w:t xml:space="preserve"> деятельность; методическая деятельность; научно-исследовательская деятельность (в том числе сопровождение студентов в этом вопросе); самообразование и повышение квалификации [1$ 2]. Новая модель должна включать методологическую рамку цифрового университета как интегративного феномена, интегрирующего в себя: цифровой формат, цифровую среду, цифровые ресурсы, цифровую платформу. Необходимо определить условия, которые позволят преодолеть противоречия между постиндустриальной, информационной природой процессов </w:t>
      </w:r>
      <w:proofErr w:type="spellStart"/>
      <w:r>
        <w:t>цифровизации</w:t>
      </w:r>
      <w:proofErr w:type="spellEnd"/>
      <w:r>
        <w:t xml:space="preserve"> и цифровой трансформацией высшего образования в логике парадигмы зарождения новой культуры. Реализация выявленных условий по преодолению возникающих проблем потребует от педагогического сообщества организации совместной деятельности, разработки современных практик наставничества как новой технологии. Следует закладывать новые характеристики: максимальная гибкость и нелинейность организации образовательного процесса, умение осуществлять информационный поиск и структурирование полученной информации, инициативность, как ресурс человека, формирование ценностей социального капитала, преемственности поколений. Достижение новых результатов, станет возможным, благодаря повышению уровня понимания педагогическим сообществом значимости подготовки педагога к профессиональной деятельности в условиях смены типов культур. Понимание основных целей, результатов и способов их достижения, педагогическим сообществом, станет эффективным ресурсом позволяющий развивать профессиональный рост педагога. Становится важным выделение из групп педагогических кадров тех педагогов, которые способны стать наставниками на старте карьеры. Наставники помогают будущему учителю обладать повышенной адаптивностью к изменениям и специфическими компетентностями поиска, оценки и внедрения нового. В этом смысле, наставничество может проявляться через вовлечение учителей практиков в процесс подготовки будущих учителей, что обеспечит развитие профессиональных компетенций, как работающего педагога-учителя, так и у будущего </w:t>
      </w:r>
      <w:proofErr w:type="spellStart"/>
      <w:r>
        <w:t>педагогаучителя</w:t>
      </w:r>
      <w:proofErr w:type="spellEnd"/>
      <w:r>
        <w:t xml:space="preserve">. Вовлечения учителей-практиков в процесс подготовки будущего педагога призвано решить следующие задачи: разнообразие профессиональных запросов, ликвидацию </w:t>
      </w:r>
      <w:r>
        <w:lastRenderedPageBreak/>
        <w:t xml:space="preserve">профессиональных дефицитов как у учителей, так и у будущих педагогов, непрерывном развитии профессионального мастерства и становлении новой педагогической практики. Что позволит повысить качество подготовки выпускника педагогического вуза и результативность его вхождение и удержание в профессии. Профессиональное становление у будущего учителя сегодня направлено на вхождение и удержание в профессии и реализуется на стадиях:  </w:t>
      </w:r>
    </w:p>
    <w:p w:rsidR="008D33CE" w:rsidRDefault="008D33CE" w:rsidP="008D33CE">
      <w:pPr>
        <w:numPr>
          <w:ilvl w:val="0"/>
          <w:numId w:val="1"/>
        </w:numPr>
        <w:ind w:right="38"/>
      </w:pPr>
      <w:r>
        <w:t xml:space="preserve">стадия </w:t>
      </w:r>
      <w:proofErr w:type="spellStart"/>
      <w:r>
        <w:t>адаптанта</w:t>
      </w:r>
      <w:proofErr w:type="spellEnd"/>
      <w:r>
        <w:t xml:space="preserve"> – мы организуем комфортное, «без шовное» вхождение в профессию, через организацию профессионально-образовательной площадки, организацию практического обучения с учителями-практиками, мотивационные мероприятия, общение в научно-образовательной среде, профессиональном сообществе; </w:t>
      </w:r>
    </w:p>
    <w:p w:rsidR="008D33CE" w:rsidRDefault="008D33CE" w:rsidP="008D33CE">
      <w:pPr>
        <w:numPr>
          <w:ilvl w:val="0"/>
          <w:numId w:val="1"/>
        </w:numPr>
        <w:ind w:right="38"/>
      </w:pPr>
      <w:r>
        <w:t xml:space="preserve">стадия </w:t>
      </w:r>
      <w:proofErr w:type="spellStart"/>
      <w:r>
        <w:t>интернала</w:t>
      </w:r>
      <w:proofErr w:type="spellEnd"/>
      <w:r>
        <w:t xml:space="preserve"> – мы организуем вхождение в профессию в качестве «полноправного коллеги», осуществляем постдипломное сопровождение и обучение по магистерским программам, организация научно-исследовательской работы, консультирование и вовлечение в наставничество, как действующего учителя-практика; </w:t>
      </w:r>
    </w:p>
    <w:p w:rsidR="008D33CE" w:rsidRDefault="008D33CE" w:rsidP="008D33CE">
      <w:pPr>
        <w:numPr>
          <w:ilvl w:val="0"/>
          <w:numId w:val="1"/>
        </w:numPr>
        <w:ind w:right="38"/>
      </w:pPr>
      <w:r>
        <w:t xml:space="preserve">стадия мастерства – для подготовки будущих педагогов привлекаем лучших среди обычных, с проявленными педагогическими способностями, вовлекаем их в обучение в магистратуре и аспирантуре, осуществляем сопровождение профессиональной карьеры, индивидуальное консультирование профессорско-преподавательским составом, в том числе по вопросам научно-исследовательской работы; обучаем и вовлекаем в качестве координаторов профессионально-образовательных площадок; </w:t>
      </w:r>
    </w:p>
    <w:p w:rsidR="008D33CE" w:rsidRDefault="008D33CE" w:rsidP="008D33CE">
      <w:pPr>
        <w:numPr>
          <w:ilvl w:val="0"/>
          <w:numId w:val="1"/>
        </w:numPr>
        <w:ind w:right="38"/>
      </w:pPr>
      <w:r>
        <w:t xml:space="preserve">стадия авторитета – когда педагог становится лучшим среди мастеров, сопровождаем обобщение передового педагогического опыта, привлекаем к соискательству, сопровождаем публикации по результатам исследований и апробации, подготовку к сдаче кандидатских экзаменов, оформления диссертационного исследования, привлекаем к реализации образовательных программ бакалавров педагогического образования, </w:t>
      </w:r>
      <w:proofErr w:type="spellStart"/>
      <w:r>
        <w:t>экспертирования</w:t>
      </w:r>
      <w:proofErr w:type="spellEnd"/>
      <w:r>
        <w:t xml:space="preserve"> магистерских диссертаций; </w:t>
      </w:r>
    </w:p>
    <w:p w:rsidR="008D33CE" w:rsidRDefault="008D33CE" w:rsidP="008D33CE">
      <w:pPr>
        <w:numPr>
          <w:ilvl w:val="0"/>
          <w:numId w:val="1"/>
        </w:numPr>
        <w:ind w:right="38"/>
      </w:pPr>
      <w:r>
        <w:t xml:space="preserve">стадия наставника – когда педагог, добившийся значительных успехов, передает свой опыт на профессионально-образовательной площадке, организуется сопровождение его научно-практической школы, оформления диссертационного исследования как доктора педагогических наук, публикации монографий, научных сборников, организация научного руководства кандидатами педагогических наук, координация деятельности профессионально-образовательных площадок края. </w:t>
      </w:r>
    </w:p>
    <w:p w:rsidR="008D33CE" w:rsidRDefault="008D33CE" w:rsidP="008D33CE">
      <w:pPr>
        <w:ind w:left="-15" w:right="38"/>
      </w:pPr>
      <w:r>
        <w:t xml:space="preserve">В современных условиях особенно актуальным становится взаимодействие университета с общеобразовательными организациями различного уровня, обеспечивающих оперативность и гибкость в подготовке будущего учителя, мотивированного на овладение новыми умениями, обеспечивающими достижение новых образовательных результатов у обучающихся. Одной из форм может быть создание профессионально-образовательных, предметно-методических площадок. </w:t>
      </w:r>
    </w:p>
    <w:p w:rsidR="008D33CE" w:rsidRDefault="008D33CE" w:rsidP="008D33CE">
      <w:pPr>
        <w:ind w:left="-15" w:right="38"/>
      </w:pPr>
      <w:r>
        <w:t xml:space="preserve">Так, например, для формирования мотивации к вовлечению в наставничество педагогов высшей школы, учителей-практиков общеобразовательных организаций и будущих педагогов мы создали </w:t>
      </w:r>
      <w:proofErr w:type="spellStart"/>
      <w:r>
        <w:t>профессиональнообразовательную</w:t>
      </w:r>
      <w:proofErr w:type="spellEnd"/>
      <w:r>
        <w:t xml:space="preserve"> площадку и предложили стать участниками мастер-классов финала Всероссийского конкурса профессионального мастерства работников сферы дополнительного образования «Сердце отдаю детям», в номинации физкультурно-оздоровительная направленность. </w:t>
      </w:r>
      <w:proofErr w:type="spellStart"/>
      <w:r>
        <w:t>Учителяпрактики</w:t>
      </w:r>
      <w:proofErr w:type="spellEnd"/>
      <w:r>
        <w:t xml:space="preserve"> и будущие педагоги физической культуры познакомились с лучшими практиками по брейк-дансу, единоборствам, волейболу, батутному спорту, </w:t>
      </w:r>
      <w:proofErr w:type="spellStart"/>
      <w:r>
        <w:t>чирлидингу</w:t>
      </w:r>
      <w:proofErr w:type="spellEnd"/>
      <w:r>
        <w:t xml:space="preserve"> и другим видам. Общение и деятельность на </w:t>
      </w:r>
      <w:proofErr w:type="spellStart"/>
      <w:r>
        <w:t>мастерклассах</w:t>
      </w:r>
      <w:proofErr w:type="spellEnd"/>
      <w:r>
        <w:t xml:space="preserve">, неформальное общение, анализ готовности участников конкурса к выполнению профессиональных задач позволили повысить познавательный интерес, установить взаимодействие и выяснить профессиональные дефициты: видеть ученика в образовательном процессе, методики формирования универсальных учебных действий, способы оценки и развития функциональной грамотности в области здоровья и безопасности жизнедеятельности. На основании запроса администрации школы будущие педагоги провели диагностику </w:t>
      </w:r>
      <w:proofErr w:type="spellStart"/>
      <w:r>
        <w:t>сформированности</w:t>
      </w:r>
      <w:proofErr w:type="spellEnd"/>
      <w:r>
        <w:t xml:space="preserve"> регулятивных, коммуникативных, познавательных, личностных универсальных учебных действий у обучающихся начальной школы и оценку функциональной грамотности в области здоровья и безопасности и определили, что они относятся к возможным «точкам роста». Мы провели рефлексию деятельности и диагностику мотивации, определили группу участников из числа педагогов университета, учителей-практиков и будущих педагогов, которые проявили желание стать участниками площадки. Учителя-практики в рефлексивных анализах указали, что они рассматривают наставничество как возможность для раскрытия личностно-профессиональных потенциалов, выказывали запрос на достраивание личностных и методических, технологических компетенций, что позволит им профессионально развиваться. Будущие педагоги проявили познавательный интерес и желание участвовать в наставничестве для профессионального становления. Преподаватели университета заинтересовались возможностью апробации научно-исследовательских разработок по вопросу формирования универсальных учебных действий на физкультурных занятиях и разработки методических приемов для формирования </w:t>
      </w:r>
      <w:proofErr w:type="spellStart"/>
      <w:r>
        <w:t>праксиологических</w:t>
      </w:r>
      <w:proofErr w:type="spellEnd"/>
      <w:r>
        <w:t xml:space="preserve"> умений у будущих педагогов в процессе практического обучения. Учителя-практики выразили желание участвовать в научно-исследовательской работе и выявили профессиональные дефициты в части организации и методологии проведения научных исследований, </w:t>
      </w:r>
      <w:r>
        <w:lastRenderedPageBreak/>
        <w:t xml:space="preserve">оформлении результатов и внедрения их в практику. Таким образом, мы рассматриваем профессионально-образовательную площадку как место организации взаимодействия участников </w:t>
      </w:r>
      <w:proofErr w:type="spellStart"/>
      <w:r>
        <w:t>практикоориентированной</w:t>
      </w:r>
      <w:proofErr w:type="spellEnd"/>
      <w:r>
        <w:t xml:space="preserve"> подготовки будущих педагогов. В результате наставничества: у будущих педагогов – профессиональное становление в части готовности к решению профессиональных задач, направленных на новые образовательные результаты; (УУД, функциональная грамотность); у учителей-практиков – профессиональное развитие; у профессорско-преподавательского состава совершенствование и внедрение актуальных научно-исследовательских работ в практику образования. </w:t>
      </w:r>
    </w:p>
    <w:p w:rsidR="008D33CE" w:rsidRDefault="008D33CE" w:rsidP="008D33CE">
      <w:pPr>
        <w:spacing w:after="0"/>
        <w:ind w:left="-15" w:right="38"/>
      </w:pPr>
      <w:r>
        <w:t>Таким образом, мы определили, что для учителей-практиков участие в процессе подготовки будущих педагогов как наставников востребовано и актуально и является ресурсом личностного и профессионального развития, позволяет осмысливать педагогическую деятельность, обновлять ее, осознать и транслировать свои ценности и убеждения, оставаться в профессии и быть в ней удовлетворенным, развивается как профессионалу, совершенствоваться. Для будущих педагогов наставничество позволяет осваивать педагогическую культуру, эффективный инструментарий педагогической деятельности. Наставничество для работодателей участие становится приоритетом кадровой политики так как обеспечивает преемственность поколений и опыта, создает «</w:t>
      </w:r>
      <w:proofErr w:type="spellStart"/>
      <w:r>
        <w:t>безшовное</w:t>
      </w:r>
      <w:proofErr w:type="spellEnd"/>
      <w:r>
        <w:t xml:space="preserve">» вхождение и удержание в профессии и позволяет сокращать и ликвидировать дефицит кадров, устранять профессиональные дефициты педагогов, развивать профессиональные компетенции и осуществлять качественное изменение педагогической практики для реализации приоритетных задач образования. Исследование запроса на вовлечение учителей в процесс подготовки будущих педагогов позволило определить зоны взаимодействий в образовательном процессе, которые обеспечивают у будущих педагогов появление старших партнеров, позволяют увидеть векторы и перспективы личностно-профессионального становления. На профессионально-образовательных площадках учителя-практики продемонстрировали продуктивные навыки и успешный опыт, будущие педагоги присваивали профессиональные ценности, осваивали трудовые действия по формированию УУД обучающихся спортивных классов начальной школы. Понимание сопровождения как педагогической стратегии позволило нам планировать, поэтапно осуществлять и своевременно регулировать педагогическую деятельность учителей-практиков, педагогов университета и будущих педагогов как наставников для будущего учителя за счет выбора содержания, методов и средств деятельности адекватно ее целям и задачам [3]. С учетом предмета профессионально-образовательной площадки и результатов диагностики мы разработали программу и основные направления дорожной карты по направлениям деятельности: организационно-управленческое, научно-методическое, предметно-методическое, информационное, образовательное и экспертно-консультационное.  </w:t>
      </w:r>
    </w:p>
    <w:p w:rsidR="008D33CE" w:rsidRDefault="008D33CE" w:rsidP="008D33CE">
      <w:pPr>
        <w:spacing w:after="142"/>
        <w:ind w:left="-15" w:right="38"/>
      </w:pPr>
      <w:r>
        <w:t xml:space="preserve">Итак, будущее педагогического образования в России во многом зависит от того, сумеет ли отечественное образование сформировать нового будущего учителя как личность, способного обеспечить достижение обучающимися новых образовательных результатов в виде универсальных учебных действий, функциональной грамотности (учебная, информационная, коммуникативная, грамотность в области здоровья и безопасности), адаптации к вызовам глобализации. Новые результаты образования сложно достигаются без новых технологий, таких как наставничество. </w:t>
      </w:r>
    </w:p>
    <w:p w:rsidR="009A38DA" w:rsidRDefault="008D33CE"/>
    <w:sectPr w:rsidR="009A3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D7BCE"/>
    <w:multiLevelType w:val="hybridMultilevel"/>
    <w:tmpl w:val="DEE4961A"/>
    <w:lvl w:ilvl="0" w:tplc="C8A0222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3CCA6C">
      <w:start w:val="1"/>
      <w:numFmt w:val="lowerLetter"/>
      <w:lvlText w:val="%2"/>
      <w:lvlJc w:val="left"/>
      <w:pPr>
        <w:ind w:left="1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0C2304">
      <w:start w:val="1"/>
      <w:numFmt w:val="lowerRoman"/>
      <w:lvlText w:val="%3"/>
      <w:lvlJc w:val="left"/>
      <w:pPr>
        <w:ind w:left="2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3E43AA">
      <w:start w:val="1"/>
      <w:numFmt w:val="decimal"/>
      <w:lvlText w:val="%4"/>
      <w:lvlJc w:val="left"/>
      <w:pPr>
        <w:ind w:left="2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661762">
      <w:start w:val="1"/>
      <w:numFmt w:val="lowerLetter"/>
      <w:lvlText w:val="%5"/>
      <w:lvlJc w:val="left"/>
      <w:pPr>
        <w:ind w:left="3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2A65BC">
      <w:start w:val="1"/>
      <w:numFmt w:val="lowerRoman"/>
      <w:lvlText w:val="%6"/>
      <w:lvlJc w:val="left"/>
      <w:pPr>
        <w:ind w:left="4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088CE4">
      <w:start w:val="1"/>
      <w:numFmt w:val="decimal"/>
      <w:lvlText w:val="%7"/>
      <w:lvlJc w:val="left"/>
      <w:pPr>
        <w:ind w:left="5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A653FC">
      <w:start w:val="1"/>
      <w:numFmt w:val="lowerLetter"/>
      <w:lvlText w:val="%8"/>
      <w:lvlJc w:val="left"/>
      <w:pPr>
        <w:ind w:left="5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64671E">
      <w:start w:val="1"/>
      <w:numFmt w:val="lowerRoman"/>
      <w:lvlText w:val="%9"/>
      <w:lvlJc w:val="left"/>
      <w:pPr>
        <w:ind w:left="6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D5079F"/>
    <w:multiLevelType w:val="hybridMultilevel"/>
    <w:tmpl w:val="310046BE"/>
    <w:lvl w:ilvl="0" w:tplc="63DA369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0AB1CC">
      <w:start w:val="1"/>
      <w:numFmt w:val="bullet"/>
      <w:lvlText w:val="o"/>
      <w:lvlJc w:val="left"/>
      <w:pPr>
        <w:ind w:left="1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5E5C94">
      <w:start w:val="1"/>
      <w:numFmt w:val="bullet"/>
      <w:lvlText w:val="▪"/>
      <w:lvlJc w:val="left"/>
      <w:pPr>
        <w:ind w:left="2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9459C0">
      <w:start w:val="1"/>
      <w:numFmt w:val="bullet"/>
      <w:lvlText w:val="•"/>
      <w:lvlJc w:val="left"/>
      <w:pPr>
        <w:ind w:left="2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3F0F2F2">
      <w:start w:val="1"/>
      <w:numFmt w:val="bullet"/>
      <w:lvlText w:val="o"/>
      <w:lvlJc w:val="left"/>
      <w:pPr>
        <w:ind w:left="3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78D252">
      <w:start w:val="1"/>
      <w:numFmt w:val="bullet"/>
      <w:lvlText w:val="▪"/>
      <w:lvlJc w:val="left"/>
      <w:pPr>
        <w:ind w:left="4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F890DE">
      <w:start w:val="1"/>
      <w:numFmt w:val="bullet"/>
      <w:lvlText w:val="•"/>
      <w:lvlJc w:val="left"/>
      <w:pPr>
        <w:ind w:left="5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4498C6">
      <w:start w:val="1"/>
      <w:numFmt w:val="bullet"/>
      <w:lvlText w:val="o"/>
      <w:lvlJc w:val="left"/>
      <w:pPr>
        <w:ind w:left="5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22CA24">
      <w:start w:val="1"/>
      <w:numFmt w:val="bullet"/>
      <w:lvlText w:val="▪"/>
      <w:lvlJc w:val="left"/>
      <w:pPr>
        <w:ind w:left="6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BF"/>
    <w:rsid w:val="00840ABF"/>
    <w:rsid w:val="008D33CE"/>
    <w:rsid w:val="00DA11F8"/>
    <w:rsid w:val="00E80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3D13"/>
  <w15:chartTrackingRefBased/>
  <w15:docId w15:val="{172C1F76-D351-4043-97F3-BB0D380D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3CE"/>
    <w:pPr>
      <w:spacing w:after="25" w:line="249" w:lineRule="auto"/>
      <w:ind w:right="13" w:firstLine="418"/>
      <w:jc w:val="both"/>
    </w:pPr>
    <w:rPr>
      <w:rFonts w:ascii="Times New Roman" w:eastAsia="Times New Roman" w:hAnsi="Times New Roman" w:cs="Times New Roman"/>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2106</Words>
  <Characters>12006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ТБ</dc:creator>
  <cp:keywords/>
  <dc:description/>
  <cp:lastModifiedBy>Зам. по ТБ</cp:lastModifiedBy>
  <cp:revision>2</cp:revision>
  <dcterms:created xsi:type="dcterms:W3CDTF">2025-02-06T11:00:00Z</dcterms:created>
  <dcterms:modified xsi:type="dcterms:W3CDTF">2025-02-06T11:00:00Z</dcterms:modified>
</cp:coreProperties>
</file>