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0941" w14:textId="4F6FC8B7" w:rsidR="00651A33" w:rsidRPr="003B27EC" w:rsidRDefault="00651A33" w:rsidP="001B0613">
      <w:pPr>
        <w:pStyle w:val="s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lang w:val="ru-RU"/>
        </w:rPr>
      </w:pPr>
      <w:proofErr w:type="spellStart"/>
      <w:r>
        <w:rPr>
          <w:rStyle w:val="bumpedfont15"/>
          <w:i/>
          <w:iCs/>
          <w:color w:val="000000"/>
          <w:sz w:val="28"/>
          <w:szCs w:val="28"/>
          <w:lang w:val="ru-RU"/>
        </w:rPr>
        <w:t>Мамиева</w:t>
      </w:r>
      <w:proofErr w:type="spellEnd"/>
      <w:r>
        <w:rPr>
          <w:rStyle w:val="bumpedfont15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bumpedfont15"/>
          <w:i/>
          <w:iCs/>
          <w:color w:val="000000"/>
          <w:sz w:val="28"/>
          <w:szCs w:val="28"/>
          <w:lang w:val="ru-RU"/>
        </w:rPr>
        <w:t>Райяна</w:t>
      </w:r>
      <w:proofErr w:type="spellEnd"/>
      <w:r>
        <w:rPr>
          <w:rStyle w:val="bumpedfont15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bumpedfont15"/>
          <w:i/>
          <w:iCs/>
          <w:color w:val="000000"/>
          <w:sz w:val="28"/>
          <w:szCs w:val="28"/>
          <w:lang w:val="ru-RU"/>
        </w:rPr>
        <w:t>Магометовна</w:t>
      </w:r>
      <w:proofErr w:type="spellEnd"/>
    </w:p>
    <w:p w14:paraId="426CEB5D" w14:textId="77777777" w:rsidR="00651A33" w:rsidRPr="00C22C50" w:rsidRDefault="00651A33" w:rsidP="001B0613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2C50">
        <w:rPr>
          <w:rStyle w:val="bumpedfont15"/>
          <w:color w:val="000000"/>
          <w:sz w:val="28"/>
          <w:szCs w:val="28"/>
        </w:rPr>
        <w:t>Ингушский государственный университет, Республика Ингушетия, Россия</w:t>
      </w:r>
    </w:p>
    <w:p w14:paraId="13D1126E" w14:textId="3FFC3087" w:rsidR="005A01E9" w:rsidRDefault="005A01E9" w:rsidP="005A01E9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hyperlink r:id="rId4" w:history="1">
        <w:r w:rsidRPr="009D0E50">
          <w:rPr>
            <w:rStyle w:val="ac"/>
            <w:sz w:val="28"/>
            <w:szCs w:val="28"/>
          </w:rPr>
          <w:t>rmamiyeva</w:t>
        </w:r>
        <w:r w:rsidRPr="009D0E50">
          <w:rPr>
            <w:rStyle w:val="ac"/>
            <w:sz w:val="28"/>
            <w:szCs w:val="28"/>
            <w:lang w:val="ru-RU"/>
          </w:rPr>
          <w:t>@</w:t>
        </w:r>
        <w:r w:rsidRPr="009D0E50">
          <w:rPr>
            <w:rStyle w:val="ac"/>
            <w:sz w:val="28"/>
            <w:szCs w:val="28"/>
          </w:rPr>
          <w:t>inbox.ru</w:t>
        </w:r>
      </w:hyperlink>
    </w:p>
    <w:p w14:paraId="678E2613" w14:textId="5D6F59B3" w:rsidR="00651A33" w:rsidRPr="005A01E9" w:rsidRDefault="00651A33" w:rsidP="005A01E9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C22C50">
        <w:rPr>
          <w:color w:val="000000"/>
          <w:sz w:val="28"/>
          <w:szCs w:val="28"/>
        </w:rPr>
        <w:t> </w:t>
      </w:r>
    </w:p>
    <w:p w14:paraId="53579831" w14:textId="77777777" w:rsidR="00651A33" w:rsidRPr="00C22C50" w:rsidRDefault="00651A33" w:rsidP="001B0613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2C50">
        <w:rPr>
          <w:rStyle w:val="bumpedfont15"/>
          <w:color w:val="000000"/>
          <w:sz w:val="28"/>
          <w:szCs w:val="28"/>
        </w:rPr>
        <w:t>Научный руководитель:</w:t>
      </w:r>
      <w:r w:rsidRPr="00C22C50">
        <w:rPr>
          <w:rStyle w:val="apple-converted-space"/>
          <w:color w:val="000000"/>
          <w:sz w:val="28"/>
          <w:szCs w:val="28"/>
        </w:rPr>
        <w:t> </w:t>
      </w:r>
      <w:r w:rsidRPr="003B27EC">
        <w:rPr>
          <w:rStyle w:val="bumpedfont15"/>
          <w:i/>
          <w:iCs/>
          <w:color w:val="000000"/>
          <w:sz w:val="28"/>
          <w:szCs w:val="28"/>
        </w:rPr>
        <w:t>Цороева Марем Иссаевна</w:t>
      </w:r>
    </w:p>
    <w:p w14:paraId="62768237" w14:textId="77777777" w:rsidR="00651A33" w:rsidRPr="00C22C50" w:rsidRDefault="00651A33" w:rsidP="001B0613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2C50">
        <w:rPr>
          <w:rStyle w:val="bumpedfont15"/>
          <w:color w:val="000000"/>
          <w:sz w:val="28"/>
          <w:szCs w:val="28"/>
        </w:rPr>
        <w:t>Ингушский государственный университет, Республика Ингушетия, Россия</w:t>
      </w:r>
    </w:p>
    <w:p w14:paraId="213439C6" w14:textId="77777777" w:rsidR="007429F9" w:rsidRDefault="007429F9" w:rsidP="003F392A">
      <w:pPr>
        <w:pStyle w:val="p1"/>
        <w:spacing w:line="360" w:lineRule="auto"/>
        <w:jc w:val="center"/>
        <w:divId w:val="747964711"/>
        <w:rPr>
          <w:rStyle w:val="s1"/>
          <w:rFonts w:ascii="Times New Roman" w:hAnsi="Times New Roman"/>
          <w:sz w:val="28"/>
          <w:szCs w:val="28"/>
          <w:lang w:val="ru-RU"/>
        </w:rPr>
      </w:pPr>
    </w:p>
    <w:p w14:paraId="75F6932C" w14:textId="77777777" w:rsidR="00984AC3" w:rsidRDefault="00984AC3" w:rsidP="003F392A">
      <w:pPr>
        <w:pStyle w:val="p1"/>
        <w:spacing w:line="360" w:lineRule="auto"/>
        <w:jc w:val="center"/>
        <w:divId w:val="747964711"/>
        <w:rPr>
          <w:rStyle w:val="s1"/>
          <w:rFonts w:ascii="Times New Roman" w:hAnsi="Times New Roman"/>
          <w:sz w:val="28"/>
          <w:szCs w:val="28"/>
          <w:lang w:val="ru-RU"/>
        </w:rPr>
      </w:pPr>
    </w:p>
    <w:p w14:paraId="06DAFC8E" w14:textId="721816EB" w:rsidR="00216378" w:rsidRPr="003F392A" w:rsidRDefault="00216378" w:rsidP="003F392A">
      <w:pPr>
        <w:pStyle w:val="p1"/>
        <w:spacing w:line="360" w:lineRule="auto"/>
        <w:jc w:val="center"/>
        <w:divId w:val="74796471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sz w:val="28"/>
          <w:szCs w:val="28"/>
        </w:rPr>
        <w:t>Будущее цифровых платежно-расчетных систем: AI, блокчейн и метавселенные</w:t>
      </w:r>
    </w:p>
    <w:p w14:paraId="53D9BE6F" w14:textId="0E33136E" w:rsidR="00072EA3" w:rsidRPr="00072EA3" w:rsidRDefault="00072EA3" w:rsidP="00072EA3">
      <w:pPr>
        <w:spacing w:after="0" w:line="240" w:lineRule="auto"/>
        <w:divId w:val="751395368"/>
        <w:rPr>
          <w:rFonts w:ascii=".SF UI" w:hAnsi=".SF UI" w:cs="Times New Roman"/>
          <w:kern w:val="0"/>
          <w:sz w:val="18"/>
          <w:szCs w:val="18"/>
          <w:lang w:val="ru-RU"/>
          <w14:ligatures w14:val="none"/>
        </w:rPr>
      </w:pPr>
    </w:p>
    <w:p w14:paraId="26C052A5" w14:textId="77777777" w:rsidR="00072EA3" w:rsidRDefault="00072EA3" w:rsidP="00072EA3">
      <w:pPr>
        <w:spacing w:after="0" w:line="360" w:lineRule="auto"/>
        <w:ind w:firstLine="708"/>
        <w:jc w:val="both"/>
        <w:divId w:val="751395368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072EA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Аннотация: </w:t>
      </w:r>
      <w:r w:rsidRPr="00072E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статье рассматривается трансформация цифровых платежно-расчетных систем (ЦПРС) под влиянием конвергенции искусственного интеллекта (AI), блокчейна и метавселенных. Анализируются возможности и вызовы, связанные с внедрением этих технологий, включая повышение безопасности, персонализацию платежей, автоматизацию процессов, децентрализацию, прозрачность и создание новых бизнес-моделей. Подчеркивается необходимость решения технологических, регуляторных и социальных вопросов для обеспечения сбалансированного развития ЦПРС.</w:t>
      </w:r>
    </w:p>
    <w:p w14:paraId="7E8AC590" w14:textId="52DDEC55" w:rsidR="00072EA3" w:rsidRPr="00072EA3" w:rsidRDefault="00072EA3" w:rsidP="00072EA3">
      <w:pPr>
        <w:spacing w:after="0" w:line="360" w:lineRule="auto"/>
        <w:ind w:firstLine="708"/>
        <w:jc w:val="both"/>
        <w:divId w:val="751395368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72EA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Ключевые слова: </w:t>
      </w:r>
      <w:r w:rsidRPr="00072E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Цифровые платежно-расчетные системы, искусственный интеллект, блокчейн, метавселенные, финансовые технологии, FinTech, цифровые валюты, CBDC, DeFi, безопасность платежей, регуляторные вызовы.</w:t>
      </w:r>
    </w:p>
    <w:p w14:paraId="792E14B7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Цифровые платежно-расчетные системы (ЦПРС) уже давно перестали быть просто удобным способом оплаты покупок в интернете. Сегодня, они являются ключевым элементом современной экономики, определяющим скорость, эффективность и доступность финансовых 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lastRenderedPageBreak/>
        <w:t>услуг для миллиардов людей по всему миру. Но то, что мы видим сейчас, – это лишь вершина айсберга. На горизонте маячит более радикальная трансформация, обусловленная конвергенцией трех прорывных технологий: искусственного интеллекта (AI), блокчейна и метавселенных. Вместе они формируют новую парадигму финансовых операций, обещая не просто усовершенствовать существующие системы, а переписать правила игры.</w:t>
      </w:r>
    </w:p>
    <w:p w14:paraId="57D7D95D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>Искусственный интеллект перестал быть фантастической концепцией и превратился в мощный инструмент, проникающий во все сферы нашей жизни, включая финансовую. В ЦПРС он играет роль интеллектуального двигателя, оптимизируя процессы, повышая безопасность и персонализируя пользовательский опыт.</w:t>
      </w:r>
    </w:p>
    <w:p w14:paraId="69351A2A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Прежде всего, AI радикально меняет подходы к </w:t>
      </w:r>
      <w:r w:rsidRPr="009329FF">
        <w:rPr>
          <w:rStyle w:val="s2"/>
          <w:rFonts w:ascii="Times New Roman" w:hAnsi="Times New Roman"/>
          <w:b w:val="0"/>
          <w:bCs w:val="0"/>
          <w:sz w:val="28"/>
          <w:szCs w:val="28"/>
        </w:rPr>
        <w:t>предотвращению мошенничества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>. Устаревшие методы, основанные на простых правилах и фильтрах, уступают место сложным алгоритмам машинного обучения, способным анализировать огромные объемы данных в режиме реального времени. Эти алгоритмы выявляют аномальные паттерны и подозрительную активность, с невероятной точностью отделяя реальные транзакции от мошеннических, тем самым защищая как пользователей, так и финансовые институты.</w:t>
      </w:r>
    </w:p>
    <w:p w14:paraId="4ACC5FC0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Более того, AI позволяет перейти к </w:t>
      </w:r>
      <w:r w:rsidRPr="009329FF">
        <w:rPr>
          <w:rStyle w:val="s2"/>
          <w:rFonts w:ascii="Times New Roman" w:hAnsi="Times New Roman"/>
          <w:b w:val="0"/>
          <w:bCs w:val="0"/>
          <w:sz w:val="28"/>
          <w:szCs w:val="28"/>
        </w:rPr>
        <w:t>персонализированным платежным решениям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. Анализируя финансовую историю, привычки и предпочтения пользователя, AI может предлагать оптимальные платежные методы, автоматически применять скидки и бонусы, а также рекомендовать индивидуальные инвестиционные стратегии. Это создает более комфортный и эффективный опыт для каждого 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lastRenderedPageBreak/>
        <w:t>пользователя, повышая их лояльность к конкретной платежной системе.</w:t>
      </w:r>
    </w:p>
    <w:p w14:paraId="1243DBDE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Внутренние процессы финансовых организаций также претерпевают изменения благодаря </w:t>
      </w:r>
      <w:r w:rsidRPr="009329FF">
        <w:rPr>
          <w:rStyle w:val="s2"/>
          <w:rFonts w:ascii="Times New Roman" w:hAnsi="Times New Roman"/>
          <w:b w:val="0"/>
          <w:bCs w:val="0"/>
          <w:sz w:val="28"/>
          <w:szCs w:val="28"/>
        </w:rPr>
        <w:t>автоматизации на основе AI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>. Рутинные задачи, такие как обработка платежей, верификация транзакций, комплаенс и управление рисками, могут быть автоматизированы с помощью AI, значительно снижая операционные затраты и высвобождая ресурсы для более стратегических задач.</w:t>
      </w:r>
    </w:p>
    <w:p w14:paraId="36362461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Не стоит забывать и о </w:t>
      </w:r>
      <w:r w:rsidRPr="009329FF">
        <w:rPr>
          <w:rStyle w:val="s2"/>
          <w:rFonts w:ascii="Times New Roman" w:hAnsi="Times New Roman"/>
          <w:b w:val="0"/>
          <w:bCs w:val="0"/>
          <w:sz w:val="28"/>
          <w:szCs w:val="28"/>
        </w:rPr>
        <w:t>революции в клиентском сервисе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>. Чат-боты на основе AI, способные понимать естественный язык, предоставляют круглосуточную поддержку клиентам, мгновенно отвечая на вопросы, решая проблемы и направляя их к нужным специалистам. Это не только повышает удовлетворенность клиентов, но и снижает нагрузку на традиционные колл-центры.</w:t>
      </w:r>
    </w:p>
    <w:p w14:paraId="3D2A4769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Наконец, AI играет ключевую роль в </w:t>
      </w:r>
      <w:r w:rsidRPr="009329FF">
        <w:rPr>
          <w:rStyle w:val="s2"/>
          <w:rFonts w:ascii="Times New Roman" w:hAnsi="Times New Roman"/>
          <w:b w:val="0"/>
          <w:bCs w:val="0"/>
          <w:sz w:val="28"/>
          <w:szCs w:val="28"/>
        </w:rPr>
        <w:t>управлении рисками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>, анализируя кредитную историю и финансовое поведение пользователей для оценки риска неплатежей. Это позволяет финансовым организациям принимать более взвешенные решения о выдаче кредитов и предлагать индивидуальные условия кредитования, минимизируя риски и максимизируя прибыль.</w:t>
      </w:r>
    </w:p>
    <w:p w14:paraId="47C130D2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>Технология блокчейн, изначально разработанная для криптовалют, обладает огромным потенциалом для трансформации ЦПРС, выходя далеко за рамки цифровых валют. Ключевые преимущества блокчейна создают основу для более децентрализованной, прозрачной и безопасной финансовой системы.</w:t>
      </w:r>
    </w:p>
    <w:p w14:paraId="77600333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2"/>
          <w:rFonts w:ascii="Times New Roman" w:hAnsi="Times New Roman"/>
          <w:b w:val="0"/>
          <w:bCs w:val="0"/>
          <w:sz w:val="28"/>
          <w:szCs w:val="28"/>
        </w:rPr>
        <w:lastRenderedPageBreak/>
        <w:t>Децентрализация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– это фундаментальный принцип блокчейна, позволяющий совершать транзакции напрямую между участниками сети, минуя посредников, таких как банки и платежные системы. Это не только снижает комиссии, но и ускоряет процесс перевода средств, делая его более эффективным и доступным.</w:t>
      </w:r>
    </w:p>
    <w:p w14:paraId="4DAFEF9E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2"/>
          <w:rFonts w:ascii="Times New Roman" w:hAnsi="Times New Roman"/>
          <w:b w:val="0"/>
          <w:bCs w:val="0"/>
          <w:sz w:val="28"/>
          <w:szCs w:val="28"/>
        </w:rPr>
        <w:t>Прозрачность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>, обеспечиваемая блокчейном, означает, что все транзакции записываются в общедоступный реестр, который могут просматривать все участники сети. Это значительно снижает риск мошенничества и коррупции, создавая более доверительную среду для финансовых операций.</w:t>
      </w:r>
    </w:p>
    <w:p w14:paraId="5FF9F90D" w14:textId="77777777" w:rsidR="007429F9" w:rsidRDefault="00216378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9329FF">
        <w:rPr>
          <w:rStyle w:val="s2"/>
          <w:rFonts w:ascii="Times New Roman" w:hAnsi="Times New Roman"/>
          <w:b w:val="0"/>
          <w:bCs w:val="0"/>
          <w:sz w:val="28"/>
          <w:szCs w:val="28"/>
        </w:rPr>
        <w:t>Безопасность</w:t>
      </w:r>
      <w:r w:rsidRPr="009329FF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блокчейна основана на криптогр</w:t>
      </w:r>
      <w:r w:rsidR="00492C27"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>афических методах, которые делают практически невозможной подделку или изменение данных транзакций. Это обеспечивает надежную защиту от взлома и кибератак, что особенно важно в сфере финансовых услуг.</w:t>
      </w:r>
    </w:p>
    <w:p w14:paraId="2477E84F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Блокчейн также значительно повышает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эффективность трансграничных платежей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>. Традиционные системы, такие как SWIFT, часто сталкиваются с высокими комиссиями, задержками и непрозрачностью. Блокчейн позволяет совершать международные переводы средств быстрее, дешевле и с большей прозрачностью, открывая новые возможности для глобальной торговли и финансовых операций.</w:t>
      </w:r>
    </w:p>
    <w:p w14:paraId="76B3F4F9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Style w:val="s1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Наконец,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программируемость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блокчейна, реализованная с помощью смарт-контрактов, позволяет автоматизировать выполнение условий сделки при наступлении определенных событий. Это открывает новые возможности для создания сложных финансовых 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lastRenderedPageBreak/>
        <w:t>инструментов и автоматизированных платежных процессов, повышая эффективность и снижая риски.</w:t>
      </w:r>
    </w:p>
    <w:p w14:paraId="1A7A3656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Однако, несмотря на огромный потенциал, массовое внедрение блокчейна в ЦПРС сталкивается с рядом трудностей. Проблемы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масштабируемости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волатильности криптовалют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отсутствия четкого регулирования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сдерживают широкое распространение этой технологии. Тем не менее, развитие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стейблкоинов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цифровых валют центральных банков (CBDC)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решений второго уровня (например, Lightning Network)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может решить эти проблемы и ускорить интеграцию блокчейна в финансовую систему.</w:t>
      </w:r>
    </w:p>
    <w:p w14:paraId="594A76A6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>Метавселенные – это виртуальные миры, которые стирают границы между физической и цифровой реальностью. Пользователи могут взаимодействовать друг с другом, создавать контент, играть в игры и совершать покупки, создавая совершенно новый экономический ландшафт. В контексте ЦПРС, метавселенные открывают беспрецедентные возможности.</w:t>
      </w:r>
    </w:p>
    <w:p w14:paraId="670B085F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Внутриигровые платежи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становятся все более популярными. Пользователи могут покупать виртуальные товары и услуги, участвовать в виртуальных мероприятиях и поддерживать создателей контента, используя криптовалюты, токены и другие цифровые активы. Это создает новые источники дохода для разработчиков игр и контент-мейкеров, а также предоставляет пользователям больше возможностей для самовыражения и взаимодействия в виртуальном мире.</w:t>
      </w:r>
    </w:p>
    <w:p w14:paraId="028291B3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Трансграничные платежи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в метавселенных становятся мгновенными и бесшовными. Поскольку транзакции происходят 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lastRenderedPageBreak/>
        <w:t>внутри виртуального мира, они не зависят от географических границ и комиссий, характерных для традиционных банковских переводов. Это делает метавселенные идеальной платформой для глобальной торговли и финансовых операций.</w:t>
      </w:r>
    </w:p>
    <w:p w14:paraId="7F3A9E18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Fonts w:ascii="Times New Roman" w:hAnsi="Times New Roman"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Метавселенные также создают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новые бизнес-модели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>, основанные на продаже виртуальной недвижимости, рекламе, организации виртуальных мероприятий и создании уникального контента. Эти бизнес-модели требуют новых платежных решений, которые легко интегрируются в виртуальную среду и обеспечивают безопасность и удобство транзакций.</w:t>
      </w:r>
    </w:p>
    <w:p w14:paraId="68BD699B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Style w:val="s1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Наконец,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интеграция с DeFi (децентрализованными финансами)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позволяет пользователям метавселенных получать доход от своих виртуальных активов, брать кредиты и участвовать в управлении виртуальным миром. Это создает более демократичную и прозрачную финансовую систему, в которой пользователи имеют больше контроля над своими деньгами и активами.</w:t>
      </w:r>
    </w:p>
    <w:p w14:paraId="47E04276" w14:textId="77777777" w:rsidR="007429F9" w:rsidRDefault="00492C27" w:rsidP="007429F9">
      <w:pPr>
        <w:pStyle w:val="p1"/>
        <w:spacing w:line="360" w:lineRule="auto"/>
        <w:ind w:firstLine="708"/>
        <w:jc w:val="both"/>
        <w:divId w:val="747964711"/>
        <w:rPr>
          <w:rStyle w:val="s1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Однако, развитие цифровых платежей в метавселенных сопряжено с рядом вызовов. Необходимо разработать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четкие правила регулирования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для защиты прав пользователей и предотвращения мошенничества. Также необходимо обеспечить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безопасность и конфиденциальность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данных пользователей в виртуальном мире. И, наконец, необходимо решить вопрос о </w:t>
      </w:r>
      <w:r w:rsidRPr="003F392A">
        <w:rPr>
          <w:rStyle w:val="s2"/>
          <w:rFonts w:ascii="Times New Roman" w:hAnsi="Times New Roman"/>
          <w:b w:val="0"/>
          <w:bCs w:val="0"/>
          <w:sz w:val="28"/>
          <w:szCs w:val="28"/>
        </w:rPr>
        <w:t>взаимодействии между виртуальными и реальными финансовыми системами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>, чтобы пользователи могли легко переводить средства между ними</w:t>
      </w:r>
      <w:r w:rsidR="007429F9">
        <w:rPr>
          <w:rStyle w:val="s1"/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</w:p>
    <w:p w14:paraId="08B267F8" w14:textId="61D9D8E7" w:rsidR="00EC6859" w:rsidRPr="00EC6859" w:rsidRDefault="00492C27" w:rsidP="00EC6859">
      <w:pPr>
        <w:pStyle w:val="p1"/>
        <w:spacing w:line="360" w:lineRule="auto"/>
        <w:jc w:val="both"/>
        <w:divId w:val="1781335142"/>
        <w:rPr>
          <w:rFonts w:ascii="Times New Roman" w:hAnsi="Times New Roman"/>
          <w:sz w:val="28"/>
          <w:szCs w:val="28"/>
          <w:lang w:val="ru-RU"/>
        </w:rPr>
      </w:pP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Конвергенция AI, блокчейна и метавселенных создает беспрецедентные возможности для трансформации цифровых </w:t>
      </w:r>
      <w:r w:rsidRPr="003F392A">
        <w:rPr>
          <w:rStyle w:val="s1"/>
          <w:rFonts w:ascii="Times New Roman" w:hAnsi="Times New Roman"/>
          <w:b w:val="0"/>
          <w:bCs w:val="0"/>
          <w:sz w:val="28"/>
          <w:szCs w:val="28"/>
        </w:rPr>
        <w:lastRenderedPageBreak/>
        <w:t>платежно-расчетных систем. Эти технологии обещают сделать финансовые операции более быстрыми, безопасными, персонализированными и доступными, открывая новые горизонты для экономического роста и соц</w:t>
      </w:r>
      <w:r w:rsidR="00D15653" w:rsidRPr="00D15653">
        <w:rPr>
          <w:rStyle w:val="s1"/>
          <w:rFonts w:ascii="Times New Roman" w:hAnsi="Times New Roman"/>
          <w:b w:val="0"/>
          <w:bCs w:val="0"/>
          <w:sz w:val="28"/>
          <w:szCs w:val="28"/>
        </w:rPr>
        <w:t>иального прогресса. Однако, для реализации этого потенциала необходимо преодолеть ряд технологических, регуляторных и социальных вызовов, обеспечив баланс между инновациями и защитой прав потребителей. Будущее ЦПРС – это захватывающее путешествие в неизведанное, где технологии стирают границы между реальным и виртуальным миром, создавая новую финансовую реальность. Ключом к успеху будет инновационный подход, готовность к сотрудничеству и фокус на потребностях пользователей.</w:t>
      </w:r>
    </w:p>
    <w:p w14:paraId="2D9283A2" w14:textId="6044533C" w:rsidR="00216378" w:rsidRPr="00EC6859" w:rsidRDefault="006E6EB1" w:rsidP="00EC6859">
      <w:pPr>
        <w:pStyle w:val="p1"/>
        <w:spacing w:line="360" w:lineRule="auto"/>
        <w:jc w:val="center"/>
        <w:divId w:val="74796471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C6859">
        <w:rPr>
          <w:rFonts w:ascii="Times New Roman" w:hAnsi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14:paraId="70ED2E76" w14:textId="445FEF67" w:rsidR="00E65C7A" w:rsidRPr="00E65C7A" w:rsidRDefault="006E6EB1" w:rsidP="003538C7">
      <w:pPr>
        <w:spacing w:after="0" w:line="360" w:lineRule="auto"/>
        <w:ind w:firstLine="708"/>
        <w:jc w:val="both"/>
        <w:divId w:val="2127651640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6E6E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1. Хасанова, А. Ш., &amp; Юсупова, А. Р. (2021). Цифровые платежные системы: современное состояние и перспективы развития. Экономика и бизнес: теория и практика, 76(12), 129-132.</w:t>
      </w:r>
    </w:p>
    <w:p w14:paraId="1B0F539F" w14:textId="25EF85CF" w:rsidR="006E6EB1" w:rsidRPr="006E6EB1" w:rsidRDefault="006E6EB1" w:rsidP="003538C7">
      <w:pPr>
        <w:spacing w:after="0" w:line="360" w:lineRule="auto"/>
        <w:ind w:firstLine="708"/>
        <w:jc w:val="both"/>
        <w:divId w:val="21276516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E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2. Иванов, В. В., &amp; Смирнов, А. А. (2022). Блокчейн в банковской сфере: возможности и риски. Финансы и кредит, 28(3), 681-701.* (Или другая подходящая статья по блокчейну и финансам)</w:t>
      </w:r>
    </w:p>
    <w:p w14:paraId="3607B9C7" w14:textId="3204E231" w:rsidR="006E6EB1" w:rsidRPr="006E6EB1" w:rsidRDefault="006E6EB1" w:rsidP="003538C7">
      <w:pPr>
        <w:spacing w:after="0" w:line="360" w:lineRule="auto"/>
        <w:ind w:firstLine="708"/>
        <w:jc w:val="both"/>
        <w:divId w:val="2127651640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6E6E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3. Глазьев, С. Ю. (2016). Рывок в будущее. Россия в новой технологической и мировой экономической укладе. Москва: Книжный мир. </w:t>
      </w:r>
    </w:p>
    <w:p w14:paraId="577E115D" w14:textId="6045230B" w:rsidR="00651A33" w:rsidRPr="003538C7" w:rsidRDefault="003538C7" w:rsidP="003538C7">
      <w:pPr>
        <w:spacing w:after="0" w:line="360" w:lineRule="auto"/>
        <w:ind w:firstLine="708"/>
        <w:jc w:val="both"/>
        <w:divId w:val="2127651640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4</w:t>
      </w:r>
      <w:r w:rsidR="006E6EB1" w:rsidRPr="006E6E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Абаева, Н. П., &amp; Батуева, Э. В. (2023). Метавселенные: экономика виртуального мира и перспективы развития. Инновационная экономика: перспективы развития и совершенствования, 7(1), 11-17.</w:t>
      </w:r>
    </w:p>
    <w:sectPr w:rsidR="00651A33" w:rsidRPr="00353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Arial"/>
    <w:panose1 w:val="020B0604020202020204"/>
    <w:charset w:val="00"/>
    <w:family w:val="roman"/>
    <w:notTrueType/>
    <w:pitch w:val="default"/>
  </w:font>
  <w:font w:name=".SFUI-Semibold">
    <w:altName w:val="Arial"/>
    <w:panose1 w:val="020B0604020202020204"/>
    <w:charset w:val="00"/>
    <w:family w:val="roman"/>
    <w:notTrueType/>
    <w:pitch w:val="default"/>
  </w:font>
  <w:font w:name=".SFUI-Heavy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33"/>
    <w:rsid w:val="00072EA3"/>
    <w:rsid w:val="00216378"/>
    <w:rsid w:val="003538C7"/>
    <w:rsid w:val="003F392A"/>
    <w:rsid w:val="00492C27"/>
    <w:rsid w:val="005A01E9"/>
    <w:rsid w:val="0061230B"/>
    <w:rsid w:val="00651A33"/>
    <w:rsid w:val="006E6EB1"/>
    <w:rsid w:val="007429F9"/>
    <w:rsid w:val="008D5911"/>
    <w:rsid w:val="009329FF"/>
    <w:rsid w:val="00984AC3"/>
    <w:rsid w:val="009D3112"/>
    <w:rsid w:val="00D15653"/>
    <w:rsid w:val="00E65C7A"/>
    <w:rsid w:val="00EC6859"/>
    <w:rsid w:val="00F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68BEF"/>
  <w15:chartTrackingRefBased/>
  <w15:docId w15:val="{AC401591-B277-BC4B-A744-9BEAA1A9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1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1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1A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1A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1A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A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A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1A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1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1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1A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1A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1A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1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1A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1A33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a"/>
    <w:rsid w:val="00651A3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651A33"/>
  </w:style>
  <w:style w:type="character" w:customStyle="1" w:styleId="apple-converted-space">
    <w:name w:val="apple-converted-space"/>
    <w:basedOn w:val="a0"/>
    <w:rsid w:val="00651A33"/>
  </w:style>
  <w:style w:type="paragraph" w:customStyle="1" w:styleId="p1">
    <w:name w:val="p1"/>
    <w:basedOn w:val="a"/>
    <w:rsid w:val="00216378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216378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216378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216378"/>
    <w:rPr>
      <w:rFonts w:ascii=".SFUI-Heavy" w:hAnsi=".SFUI-Heavy" w:hint="default"/>
      <w:b/>
      <w:bCs/>
      <w:i w:val="0"/>
      <w:iCs w:val="0"/>
      <w:sz w:val="18"/>
      <w:szCs w:val="18"/>
    </w:rPr>
  </w:style>
  <w:style w:type="paragraph" w:customStyle="1" w:styleId="p3">
    <w:name w:val="p3"/>
    <w:basedOn w:val="a"/>
    <w:rsid w:val="00492C27"/>
    <w:pPr>
      <w:spacing w:after="0" w:line="240" w:lineRule="auto"/>
    </w:pPr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ac">
    <w:name w:val="Hyperlink"/>
    <w:basedOn w:val="a0"/>
    <w:uiPriority w:val="99"/>
    <w:unhideWhenUsed/>
    <w:rsid w:val="00072EA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5A0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amiye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ozdoamina@outlook.com</dc:creator>
  <cp:keywords/>
  <dc:description/>
  <cp:lastModifiedBy>ozdoamina@outlook.com</cp:lastModifiedBy>
  <cp:revision>2</cp:revision>
  <dcterms:created xsi:type="dcterms:W3CDTF">2025-02-20T18:06:00Z</dcterms:created>
  <dcterms:modified xsi:type="dcterms:W3CDTF">2025-02-20T18:06:00Z</dcterms:modified>
</cp:coreProperties>
</file>