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Внеурочное мероприятие на тему «5 правил финансовой грамотности»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Класс:</w:t>
      </w:r>
      <w:r>
        <w:rPr>
          <w:rFonts w:ascii="Arial" w:hAnsi="Arial" w:cs="Arial"/>
          <w:color w:val="212529"/>
        </w:rPr>
        <w:t> 4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Оборудование:</w:t>
      </w:r>
      <w:r>
        <w:rPr>
          <w:rFonts w:ascii="Arial" w:hAnsi="Arial" w:cs="Arial"/>
          <w:color w:val="212529"/>
        </w:rPr>
        <w:t> </w:t>
      </w:r>
      <w:r>
        <w:rPr>
          <w:rFonts w:ascii="Arial" w:hAnsi="Arial" w:cs="Arial"/>
          <w:color w:val="0070C0"/>
        </w:rPr>
        <w:t>компьютер для учителя, проектор, экран, конверты с кейсами для команд (Приложение 2), жетоны для проведения конкурса команд (Приложение 3), песочные часы / таймер, колокольчик, призы командам.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Цели: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Сформировать представление о финансово грамотном поведении.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Задачи: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Рассказать, что понимается под финансово грамотным поведением.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Актуализировать имеющиеся знания и практические навыки по финансовой грамотности.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Научить приводить примеры неграмотного финансового поведения и моделировать иные (верные) варианты поведения в аналогичных ситуациях.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Показать </w:t>
      </w:r>
      <w:proofErr w:type="spellStart"/>
      <w:r>
        <w:rPr>
          <w:rFonts w:ascii="Arial" w:hAnsi="Arial" w:cs="Arial"/>
          <w:color w:val="212529"/>
        </w:rPr>
        <w:t>межпредметную</w:t>
      </w:r>
      <w:proofErr w:type="spellEnd"/>
      <w:r>
        <w:rPr>
          <w:rFonts w:ascii="Arial" w:hAnsi="Arial" w:cs="Arial"/>
          <w:color w:val="212529"/>
        </w:rPr>
        <w:t xml:space="preserve"> связь математики и финансовой грамотности.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Сформулировать 5 правил финансово грамотного человека.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Формирование УУД: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коммуникативные</w:t>
      </w:r>
      <w:r>
        <w:rPr>
          <w:rFonts w:ascii="Arial" w:hAnsi="Arial" w:cs="Arial"/>
          <w:color w:val="212529"/>
        </w:rPr>
        <w:t>: взаимодействие с учителем и одноклассниками, умение строить понятные для собеседника высказывания;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регулятивные</w:t>
      </w:r>
      <w:r>
        <w:rPr>
          <w:rFonts w:ascii="Arial" w:hAnsi="Arial" w:cs="Arial"/>
          <w:color w:val="212529"/>
        </w:rPr>
        <w:t>: умение настраиваться на занятие, устанавливать связь между целью учебной деятельности и ее мотивом;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личностные</w:t>
      </w:r>
      <w:r>
        <w:rPr>
          <w:rFonts w:ascii="Arial" w:hAnsi="Arial" w:cs="Arial"/>
          <w:color w:val="212529"/>
        </w:rPr>
        <w:t>: осознание необходимости развития собственной финансовой грамотности для участия в повседневном принятии финансовых решений в своей семье.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Обучающийся научится: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• в сфере достижения </w:t>
      </w:r>
      <w:proofErr w:type="spellStart"/>
      <w:r>
        <w:rPr>
          <w:rFonts w:ascii="Arial" w:hAnsi="Arial" w:cs="Arial"/>
          <w:color w:val="212529"/>
        </w:rPr>
        <w:t>метапредметных</w:t>
      </w:r>
      <w:proofErr w:type="spellEnd"/>
      <w:r>
        <w:rPr>
          <w:rFonts w:ascii="Arial" w:hAnsi="Arial" w:cs="Arial"/>
          <w:color w:val="212529"/>
        </w:rPr>
        <w:t xml:space="preserve"> результатов (освоения </w:t>
      </w:r>
      <w:proofErr w:type="spellStart"/>
      <w:r>
        <w:rPr>
          <w:rFonts w:ascii="Arial" w:hAnsi="Arial" w:cs="Arial"/>
          <w:color w:val="212529"/>
        </w:rPr>
        <w:t>метапредметных</w:t>
      </w:r>
      <w:proofErr w:type="spellEnd"/>
      <w:r>
        <w:rPr>
          <w:rFonts w:ascii="Arial" w:hAnsi="Arial" w:cs="Arial"/>
          <w:color w:val="212529"/>
        </w:rPr>
        <w:t xml:space="preserve"> УУД):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- определять цели развития собственной финансовой грамотности и планировать способы их достижения;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t xml:space="preserve">- осуществлять учебное сотрудничество и совместную деятельность </w:t>
      </w:r>
      <w:proofErr w:type="gramStart"/>
      <w:r>
        <w:rPr>
          <w:rFonts w:ascii="Arial" w:hAnsi="Arial" w:cs="Arial"/>
          <w:color w:val="212529"/>
        </w:rPr>
        <w:t>со</w:t>
      </w:r>
      <w:proofErr w:type="gramEnd"/>
      <w:r>
        <w:rPr>
          <w:rFonts w:ascii="Arial" w:hAnsi="Arial" w:cs="Arial"/>
          <w:color w:val="212529"/>
        </w:rPr>
        <w:t xml:space="preserve"> взрослыми (учителем, членами своей семьи) и сверстниками для достижения целей развития собственной финансовой грамотности;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- обосновывать свою оценку финансового поведения людей в конкретных ситуациях;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- приводить примеры неграмотного финансового поведения и моделировать иные варианты поведения в аналогичных ситуациях;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- актуализировать имеющиеся знания и практические навыки по финансовой грамотности;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• в сфере достижения предметных результатов (освоения предметных УУД):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- объяснять, от чего зависит финансовое благосостояние человека;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- понимать зависимость финансового благосостояния семьи от многих факторов, в том числе от уровня образования, профессии, грамотного применения имеющихся финансовых знаний и навыков;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- обосновывать свою оценку финансового поведения людей в конкретных ситуациях;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- описывать обязательные знания и умения, необходимые для приобретения финансовой грамотности.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Методы и приемы</w:t>
      </w:r>
      <w:r>
        <w:rPr>
          <w:rFonts w:ascii="Arial" w:hAnsi="Arial" w:cs="Arial"/>
          <w:color w:val="212529"/>
        </w:rPr>
        <w:t>, используемые для проведения мероприятия: </w:t>
      </w:r>
      <w:r>
        <w:rPr>
          <w:rFonts w:ascii="Arial" w:hAnsi="Arial" w:cs="Arial"/>
          <w:color w:val="0070C0"/>
        </w:rPr>
        <w:t>эвристическая беседа, игра по станциям, работа в группе, анализ конкретных ситуаций (</w:t>
      </w:r>
      <w:proofErr w:type="spellStart"/>
      <w:r>
        <w:rPr>
          <w:rFonts w:ascii="Arial" w:hAnsi="Arial" w:cs="Arial"/>
          <w:color w:val="0070C0"/>
        </w:rPr>
        <w:t>case-study</w:t>
      </w:r>
      <w:proofErr w:type="spellEnd"/>
      <w:r>
        <w:rPr>
          <w:rFonts w:ascii="Arial" w:hAnsi="Arial" w:cs="Arial"/>
          <w:color w:val="0070C0"/>
        </w:rPr>
        <w:t>), мозговая атака.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Ход занятия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Вступительная часть: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а) Организационный этап, самоопределение к деятельности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Здравствуйте, ребята! Я очень рада видеть вас! Вы все собрались вовремя, сидите за партами, одеты в соответствии с требованиями школы, поприветствовали меня вставанием</w:t>
      </w:r>
      <w:proofErr w:type="gramStart"/>
      <w:r>
        <w:rPr>
          <w:rFonts w:ascii="Arial" w:hAnsi="Arial" w:cs="Arial"/>
          <w:color w:val="212529"/>
        </w:rPr>
        <w:t>… А</w:t>
      </w:r>
      <w:proofErr w:type="gramEnd"/>
      <w:r>
        <w:rPr>
          <w:rFonts w:ascii="Arial" w:hAnsi="Arial" w:cs="Arial"/>
          <w:color w:val="212529"/>
        </w:rPr>
        <w:t xml:space="preserve"> почему? Почему вы так поступили?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Ответы </w:t>
      </w:r>
      <w:proofErr w:type="gramStart"/>
      <w:r>
        <w:rPr>
          <w:rFonts w:ascii="Arial" w:hAnsi="Arial" w:cs="Arial"/>
          <w:color w:val="212529"/>
        </w:rPr>
        <w:t>обучающихся</w:t>
      </w:r>
      <w:proofErr w:type="gramEnd"/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Конечно, вы правы! Потому что так требуется, потому что есть такие правила. В нашей жизни – как </w:t>
      </w:r>
      <w:proofErr w:type="gramStart"/>
      <w:r>
        <w:rPr>
          <w:rFonts w:ascii="Arial" w:hAnsi="Arial" w:cs="Arial"/>
          <w:color w:val="212529"/>
        </w:rPr>
        <w:t>в</w:t>
      </w:r>
      <w:proofErr w:type="gramEnd"/>
      <w:r>
        <w:rPr>
          <w:rFonts w:ascii="Arial" w:hAnsi="Arial" w:cs="Arial"/>
          <w:color w:val="212529"/>
        </w:rPr>
        <w:t xml:space="preserve"> </w:t>
      </w:r>
      <w:proofErr w:type="gramStart"/>
      <w:r>
        <w:rPr>
          <w:rFonts w:ascii="Arial" w:hAnsi="Arial" w:cs="Arial"/>
          <w:color w:val="212529"/>
        </w:rPr>
        <w:t>школьной</w:t>
      </w:r>
      <w:proofErr w:type="gramEnd"/>
      <w:r>
        <w:rPr>
          <w:rFonts w:ascii="Arial" w:hAnsi="Arial" w:cs="Arial"/>
          <w:color w:val="212529"/>
        </w:rPr>
        <w:t>, так и обычной, есть правила, которые мы все должны соблюдать. Какие это правила?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Ответы </w:t>
      </w:r>
      <w:proofErr w:type="gramStart"/>
      <w:r>
        <w:rPr>
          <w:rFonts w:ascii="Arial" w:hAnsi="Arial" w:cs="Arial"/>
          <w:color w:val="212529"/>
        </w:rPr>
        <w:t>обучающихся</w:t>
      </w:r>
      <w:proofErr w:type="gramEnd"/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Отлично! Конечно же, это правила поведения в школе, в столовой, на дороге, на природе, в общественных местах...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>
            <wp:extent cx="6096000" cy="3429000"/>
            <wp:effectExtent l="19050" t="0" r="0" b="0"/>
            <wp:docPr id="1" name="Рисунок 1" descr="t1695215960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695215960a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б) Постановка проблемы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Как вы думаете, а зачем придумываются правила?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Ответы </w:t>
      </w:r>
      <w:proofErr w:type="gramStart"/>
      <w:r>
        <w:rPr>
          <w:rFonts w:ascii="Arial" w:hAnsi="Arial" w:cs="Arial"/>
          <w:color w:val="212529"/>
        </w:rPr>
        <w:t>обучающихся</w:t>
      </w:r>
      <w:proofErr w:type="gramEnd"/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Да, безусловно, вы правы. Люди придумывают правила, для того, чтобы был порядок. Предполагается, что жизнь людей, соблюдающих правила, будет </w:t>
      </w:r>
      <w:r>
        <w:rPr>
          <w:rFonts w:ascii="Arial" w:hAnsi="Arial" w:cs="Arial"/>
          <w:color w:val="212529"/>
        </w:rPr>
        <w:lastRenderedPageBreak/>
        <w:t>гарантированно протекать без происшествий, спокойно и гладко. Как вы думаете, а существуют ли правила финансового поведения людей?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Ответы </w:t>
      </w:r>
      <w:proofErr w:type="gramStart"/>
      <w:r>
        <w:rPr>
          <w:rFonts w:ascii="Arial" w:hAnsi="Arial" w:cs="Arial"/>
          <w:color w:val="212529"/>
        </w:rPr>
        <w:t>обучающихся</w:t>
      </w:r>
      <w:proofErr w:type="gramEnd"/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Конечно, такие правила существуют.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в) Постановка целей и задач.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Сегодня мы с вами вместе сформулируем 5 правил финансовой грамотности, соблюдая которые, мы можем обеспечить протекание нашей финансовой жизни без происшествий.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>
            <wp:extent cx="6096000" cy="3429000"/>
            <wp:effectExtent l="19050" t="0" r="0" b="0"/>
            <wp:docPr id="2" name="Рисунок 2" descr="t1695215960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695215960a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2. Основная часть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а) Актуализация знаний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Ребята, </w:t>
      </w:r>
      <w:proofErr w:type="gramStart"/>
      <w:r>
        <w:rPr>
          <w:rFonts w:ascii="Arial" w:hAnsi="Arial" w:cs="Arial"/>
          <w:color w:val="212529"/>
        </w:rPr>
        <w:t>скажите</w:t>
      </w:r>
      <w:proofErr w:type="gramEnd"/>
      <w:r>
        <w:rPr>
          <w:rFonts w:ascii="Arial" w:hAnsi="Arial" w:cs="Arial"/>
          <w:color w:val="212529"/>
        </w:rPr>
        <w:t xml:space="preserve"> пожалуйста, кого мы можем считать финансово грамотным человеком?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Ответы </w:t>
      </w:r>
      <w:proofErr w:type="gramStart"/>
      <w:r>
        <w:rPr>
          <w:rFonts w:ascii="Arial" w:hAnsi="Arial" w:cs="Arial"/>
          <w:color w:val="212529"/>
        </w:rPr>
        <w:t>обучающихся</w:t>
      </w:r>
      <w:proofErr w:type="gramEnd"/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t>Отлично. Конечно же, вы знаете, что финансово грамотный человек всегда ведет учет личных и семейных расходов и доходов, рационально подходит к выбору финансовых продуктов и услуг, живет в рамках своего бюджета, не злоупотребляя займами, и ориентируется в финансовой сфере.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>
            <wp:extent cx="6096000" cy="3429000"/>
            <wp:effectExtent l="19050" t="0" r="0" b="0"/>
            <wp:docPr id="3" name="Рисунок 3" descr="t1695215960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695215960a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А как оценить финансовое поведение людей?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Давайте посмотрим анимированную презентацию, подготовленную консультационной компанией ПАКК по заказу Министерства финансов РФ в рамках реализации проекта «Содействие повышению уровня финансовой грамотности населения и развитию финансового образования в Российской Федерации»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lastRenderedPageBreak/>
        <w:drawing>
          <wp:inline distT="0" distB="0" distL="0" distR="0">
            <wp:extent cx="6096000" cy="3429000"/>
            <wp:effectExtent l="19050" t="0" r="0" b="0"/>
            <wp:docPr id="4" name="Рисунок 4" descr="t169521596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695215960a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*ОБРАТИТЕ ВНИМАНИЕ НА ИНТЕРАКТИВ!!! Во время демонстрации видеоролика задаются вопросы, на которые обучающиеся могут дать ответы. Необходимо остановить демонстрацию нажав на паузу, для организации возможности ответов детей</w:t>
      </w:r>
      <w:proofErr w:type="gramStart"/>
      <w:r>
        <w:rPr>
          <w:rFonts w:ascii="Arial" w:hAnsi="Arial" w:cs="Arial"/>
          <w:color w:val="212529"/>
        </w:rPr>
        <w:t>.</w:t>
      </w:r>
      <w:proofErr w:type="gramEnd"/>
      <w:r>
        <w:rPr>
          <w:rFonts w:ascii="Arial" w:hAnsi="Arial" w:cs="Arial"/>
          <w:color w:val="212529"/>
        </w:rPr>
        <w:t xml:space="preserve"> (</w:t>
      </w:r>
      <w:proofErr w:type="gramStart"/>
      <w:r>
        <w:rPr>
          <w:rFonts w:ascii="Arial" w:hAnsi="Arial" w:cs="Arial"/>
          <w:color w:val="212529"/>
        </w:rPr>
        <w:t>н</w:t>
      </w:r>
      <w:proofErr w:type="gramEnd"/>
      <w:r>
        <w:rPr>
          <w:rFonts w:ascii="Arial" w:hAnsi="Arial" w:cs="Arial"/>
          <w:color w:val="212529"/>
        </w:rPr>
        <w:t>а 1.01 мин, 2.21 мин, 4.56 мин, 5.11 мин – предупредить, что надо взять ручку и листок бумаги). В конце видеоролика небольшой тест. Понадобятся бумага и пишущее средство.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б) Применение знаний и умений в выполнении заданий, в процессе игровой деятельности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proofErr w:type="gramStart"/>
      <w:r>
        <w:rPr>
          <w:rFonts w:ascii="Arial" w:hAnsi="Arial" w:cs="Arial"/>
          <w:color w:val="212529"/>
        </w:rPr>
        <w:t>Ну</w:t>
      </w:r>
      <w:proofErr w:type="gramEnd"/>
      <w:r>
        <w:rPr>
          <w:rFonts w:ascii="Arial" w:hAnsi="Arial" w:cs="Arial"/>
          <w:color w:val="212529"/>
        </w:rPr>
        <w:t xml:space="preserve"> вот мы с вами и познакомились с основными правилами финансово грамотного поведения, узнали о правильности своего финансового поведения. Осталось сформулировать 5 правил финансовой грамотности.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lastRenderedPageBreak/>
        <w:drawing>
          <wp:inline distT="0" distB="0" distL="0" distR="0">
            <wp:extent cx="6096000" cy="3429000"/>
            <wp:effectExtent l="19050" t="0" r="0" b="0"/>
            <wp:docPr id="5" name="Рисунок 5" descr="t1695215960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695215960a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Для этого разделитесь на 5 команд. Каждая команда получает маршрутный лист. Поскольку правил 5, то и станций тоже 5. Каждая команда, приходящая на станцию, выполняет задания, находящиеся в конверте, формулирует правило и записывает его в маршрутный лист. По сигналу команды переходят на следующую станцию. Время работы на одной станции – 5 минут.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>
            <wp:extent cx="6096000" cy="3429000"/>
            <wp:effectExtent l="19050" t="0" r="0" b="0"/>
            <wp:docPr id="6" name="Рисунок 6" descr="t1695215960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695215960a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Работа групп обучающихся с кейсами, обсуждение и заполнение маршрутных листов. Маршрутные листы сдаются учителю для проверки ответов и обобщения правил.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t>Учитель проверяет решения задач и оценивает работу каждой команды.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>
            <wp:extent cx="6096000" cy="3429000"/>
            <wp:effectExtent l="19050" t="0" r="0" b="0"/>
            <wp:docPr id="7" name="Рисунок 7" descr="t1695215960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1695215960a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Команды молодцы. Справились с такими сложными заданиями, интегрирующими математические и финансовые знания, сформулировали правила финансовой грамотности. Надеюсь, что соблюдение этих правил обеспечит ваше финансовое благополучие!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3. Заключительная часть:</w:t>
      </w:r>
      <w:r>
        <w:rPr>
          <w:rFonts w:ascii="Arial" w:hAnsi="Arial" w:cs="Arial"/>
          <w:b/>
          <w:bCs/>
          <w:color w:val="212529"/>
        </w:rPr>
        <w:br/>
        <w:t>а) Подведение итогов.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Подсчет жетонов, полученных командами, определение победителей. Вручение призов.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lastRenderedPageBreak/>
        <w:drawing>
          <wp:inline distT="0" distB="0" distL="0" distR="0">
            <wp:extent cx="6096000" cy="3429000"/>
            <wp:effectExtent l="19050" t="0" r="0" b="0"/>
            <wp:docPr id="8" name="Рисунок 8" descr="t1695215960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1695215960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б) Рефлексия.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>
            <wp:extent cx="6096000" cy="3429000"/>
            <wp:effectExtent l="19050" t="0" r="0" b="0"/>
            <wp:docPr id="9" name="Рисунок 9" descr="t1695215960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1695215960a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Проводится по привычной для детей схеме.</w:t>
      </w: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F1D52" w:rsidRDefault="001F1D52" w:rsidP="001F1D5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в) Прощание</w:t>
      </w:r>
    </w:p>
    <w:p w:rsidR="00F06EA5" w:rsidRDefault="00F06EA5"/>
    <w:sectPr w:rsidR="00F06EA5" w:rsidSect="00F06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1D52"/>
    <w:rsid w:val="001F1D52"/>
    <w:rsid w:val="00EF48F0"/>
    <w:rsid w:val="00F06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1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1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6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920</Words>
  <Characters>5250</Characters>
  <Application>Microsoft Office Word</Application>
  <DocSecurity>0</DocSecurity>
  <Lines>43</Lines>
  <Paragraphs>12</Paragraphs>
  <ScaleCrop>false</ScaleCrop>
  <Company/>
  <LinksUpToDate>false</LinksUpToDate>
  <CharactersWithSpaces>6158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2025-01-30T08:18:00Z</dcterms:created>
  <dcterms:modified xsi:type="dcterms:W3CDTF">2025-01-30T08:21:00Z</dcterms:modified>
</cp:coreProperties>
</file>