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73" w:rsidRPr="00426373" w:rsidRDefault="00426373" w:rsidP="00426373">
      <w:pPr>
        <w:spacing w:before="300" w:after="15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</w:pPr>
      <w:r w:rsidRPr="00426373"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  <w:t>Физическая культура</w:t>
      </w:r>
    </w:p>
    <w:p w:rsidR="00426373" w:rsidRDefault="00426373" w:rsidP="004263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Аржанова Тамара Александровна</w:t>
      </w:r>
    </w:p>
    <w:p w:rsidR="00426373" w:rsidRDefault="00426373" w:rsidP="004263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2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 на уроках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426373" w:rsidRPr="00426373" w:rsidRDefault="00426373" w:rsidP="004263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373" w:rsidRDefault="00426373" w:rsidP="00426373">
      <w:pPr>
        <w:ind w:left="-567"/>
        <w:jc w:val="righ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Здоровье -это то, что люди 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меньше  всего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берегут и  больше всего стремятся  сохранить</w:t>
      </w:r>
    </w:p>
    <w:p w:rsidR="00426373" w:rsidRPr="005040EB" w:rsidRDefault="00426373" w:rsidP="00426373">
      <w:pPr>
        <w:ind w:left="-567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Ж.Лабрюйер</w:t>
      </w:r>
      <w:proofErr w:type="spellEnd"/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Существует более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трехсот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определений понятия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».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Согласно определению Всемирной организации здравоохранения,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доровье — это состояние полного физического, психического и социального благополучия, а не только отсутствие болезней или физических дефектов. В характеристике понятия «здоровье» используется как индивидуальная, так и общественная характеристика. В отношении индивида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оно отражает качество приспособления организма к условиям внешней среды и представляет итог процесса взаимодействия человека и среды обитания.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Здоровье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человека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формируется в результате взаимодействия внешних (природных и социальных) и внутренних (наследственность, пол, возраст) факторов. Признаки индивидуального здоровья- это специфическая и не специфическая устойчивость к действию повреждающих факторов; показатели роста и развития; текущее функциональное состояние и возможности организма и личности; наличие и уровень какого-либо заболевания или дефекта развития; уровень морально-волевых и ценностно- мотивационных установок. В связи с этим целостный взгляд на индивидуальное здоровье можно представить в виде четырехкомпонентной модели, в которой выделены взаимосвязи различных его компонентов и представлена их иерархия: Соматический компонент- текущее состояние органов и систем организма человека,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 во-вторых, обеспечивают индивидуализацию этого процесса. Физический компонент- уровень роста и развития органов и систем организма, обеспечивающий адаптационные реакции. Психический компонент- состояние психической сферы, основу которого составляет состояние общего душевного комфорта, обеспечивающее адекватную поведенческую реакцию. Нравственный компонент- комплекс характеристик мотивационной и информативной сферы жизнедеятельности, основу которого определяет система ценностей, установок и мотивов поведения индивида в обществе. Нравственным здоровьем определена духовность человека, так как оно связано с общечеловеческими истинами добра, любви и красоты. Подобное выделение компонентов здоровья позволяет показать всю многомерность взаимовлияний разных проявлений функционирования индивидуума и более полно охарактеризовать различные стороны жизнедеятельности человека.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Здоровье человека, в 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 религиозными традициями, убеждениями личностными наклонностями. Здоровый образ жизни объединяет все, что способствует выполнению человеком профессиональных, общественных, семейных и бытовых функций в оптимальных для здоровья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>условиях и определяет направленность усилий личности и сохранение и укрепление индивидуального и общественного здоровья.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Здоровье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сберега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ю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щие технологии реализуются на основе личностно-ориентированного подхода. Осуществляемые на основе личностно-развивающих ситуаций, они относятся к тем жизненно важным факторам, благодаря которым учащиеся учатся жить вместе и эффективно взаимодействовать. Предполагают активное участие самого обучающегося в освоении культуры человеческих отношений, в формировании опыта здоровье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сбережения, который приобретается через постепенное расширение сферы общения и деятельности учащегося, развитие его само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регуляции (от внешнего контроля к внутреннему самоконтролю), становление самосознания и активной жизненной позиции на основе воспитания и самовоспитания, формирования ответственности за свое здоровье, жизнь и здоровье других людей. По определению В. В. Серикова, технология в любой сфере — это деятельность, в максимальной мере отражающая объективные законы данной предметной сферы, построенная в соответствии с логикой развития этой сферы и потому обеспечивающая наибольшее для данных условий соответствие результата деятельности предварительно поставленным целям. Следуя этому методологическому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регулятиву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технологию, применительно к поставленной проблеме, можно </w:t>
      </w:r>
      <w:proofErr w:type="gram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определить</w:t>
      </w:r>
      <w:proofErr w:type="gram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как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есберегающую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педагогическую деятельность, которая по-новому выстраивает отношения между образованием и воспитанием, переводит воспитание в рамки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человеко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образующего и жизнеобеспечивающего процесса, направленного на сохранение и приумножение здоровья ребенка.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Здоровьесберегающие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педагогические технологии должны обеспечить развитие природных способностей ребенка: его ума, нравственных и эстетических чувств, потребности в деятельности, овладении первоначальным опытом общения с людьми, природой, искусством. «Здоровье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формирующие образовательные технологии», по определению Н. К. Смирнова, — это все те психолого-педагогические технологии, программы, методы, которые направлены на воспитание у учащихся культуры здоровья, личностных качеств, способствующих его сохранению и укреплению, формирование представления о здоровье как ценности, мотивацию на ведение здорового образа жизни. Под здоровье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сберегающей образовательной технологией (Петров О. В.) понимает систему, создающую максимально возможные условия для сохранения, укрепления и развития духовного, эмоционального, интеллектуального, личностного и физического здоровья всех субъектов образования (учащихся, педагогов и др.). В эту систему входит: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1)</w:t>
      </w: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Учет особенностей возрастного развития школьников и разработка образовательной стратегии, соответствующей особенностям памяти, мышления, работоспособности, активности и т. д. учащихся данной возрастной группы.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2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) Использование данных мониторинга состояния здоровья учащихся, проводимого медицинскими работниками, и собственных наблюдений в процессе реализации образовательной технологии, ее коррекция в соответствии с имеющимися данными.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3) Создание благоприятного эмоционально-психологического климата в процессе реализации технологии.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4) Использование разнообразных видов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здоровьесберегающей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деятельности учащихся, направленных на сохранение и повышение резервов здоровья, работоспособности (Петров О. В.)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</w:t>
      </w:r>
      <w:r w:rsidRPr="0042637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6F6F6"/>
        </w:rPr>
        <w:t>Главная задача учителя физической культуры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 — сохранение и укрепление здоровья подрастающего поколения. Физическая культура — единственный предмет в школе, который выполняет именно эти задачи. Своими действиями учитель физической культуры может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разрушить молодой, растущий организм, а может и превратить из слабого, болезненного человечка в полноценного, здорового гражданина своей страны. Деятельность учителя в аспекте реализации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здоровьесберегающих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технологий на уроках физической культуры должна включать знакомство с результатами медицинских осмотров детей, их учет в учебно-воспитательной работе; помощь родителям в построении здоровой жизнедеятельности учащихся и семьи в целом. Критерием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здоровьесберегающих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качеств образовательных технологий при решении с их помощью защиты от патогенных факторов будет наличие или отсутствие ухудшения здоровья учащихся и педагогов, находящееся в очевидной связи с воздействием таких факторов.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Цель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здоровьесберегающей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педагогики — обеспечить выпускнику школы высокий уровень реального здоровья, вооружив его необходимым багажом знаний, умений и навыков, необходимых для ведения здорового образа жизни, и воспитав у него культуру здоровья. Если забота о здоровье учащихся является одним из приоритетов работы всего педагогического коллектива и осуществляется на профессиональной основе, то только тогда можно говорить о реализации в школе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здоровьесберегающих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технологий, и результатом их внедрения будет защита здоровья учащихся и педагогов от воздействия негативных факторов, в первую очередь связанных с образовательным процессом. Задача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здоровьесберегающей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педагогики — обеспечить выпускнику школы высокий уровень здоровья, сформировать культуру здоровья, тогда аттестат о среднем образовании будет действительной путёвкой в счастливую самостоятельную жизнь, свидетельством умения молодого человека заботиться о своём здоровье и бережно относиться к здоровью других людей. Группы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здоровьесберегающих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технологий, применяемых в системе образования, в которых используется разный подход к охране здоровья, а соответственно, и </w:t>
      </w:r>
      <w:proofErr w:type="gram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разные методы</w:t>
      </w:r>
      <w:proofErr w:type="gram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 формы работы: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1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) Физкультурно-оздоровительные технологии направлены на физическое развитие занимающихся: закаливание, тренировку силы, выносливости, быстроты, гибкости и других качеств. В основном данные технологии реализуются на уроках физкультуры и в работе спортивных секций.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2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)  Медико-гигиенические технологии, которые включают комплекс мер, направленных на соблюдение надлежащих гигиенических условий в соответствии с регламентациями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СанПинНов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и функционирование в школах медицинского кабинета. Создание стоматологического, физиотерапевтического и других медицинских кабинетов для оказания каждодневной помощи школьникам, и педагогам, проведение занятий лечебной физкультурой, организация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фитобаров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кабинетов “горного воздуха” и т. п. — также элементы этой технологии.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3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) Экологические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здоровьесберегающие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технологии помогают воспитывать у школьников любовь к природе, стремление заботиться о ней, приобщение учащихся к исследовательской деятельности в сфере экологии и т. п., все это обладает мощным педагогическим воздействием, формирующим личность, укрепляющим духовно-нравственное здоровье учащихся.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Здоровьесберегающие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образовательные технологии следует признать наиболее значимыми из всех перечисленных по степени влияния на здоровье учащихся. Главный их отличительный признак — не место, где они реализуются, а использование психолого-педагогических приемов, методов, технологий, подходов к решению возникающих проблем. В настоящее время к 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здоровьесберегающим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 форм обучения, оптимальном сочетании двигательных и статических нагрузок, обучении в малых группах, использовании наглядности и сочетании различных форм предоставлении информации,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создании эмоционально благоприятной атмосферы, формировании положительной мотивации к учебе (“педагогика успеха”), на культивировании у учащихся знаний по вопросам здоровья.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Для учителя очень важно правильно организовать урок, т. к. он является основной формой педагогического процесса. От уровня гигиенической рациональности урока во многом зависит функциональное состояние школьников в процессе учебной деятельности, возможность длительно поддерживать умственную работоспособность на высоком уровне и предупреждать преждевременное нарушение утомления. Нельзя забывать и о том, что гигиенические условия влияют на состояние учителя, его здоровья. А это, в свою очередь, оказывает влияние на состояние и здоровья учащихся. Основные современные требования к уроку с комплексом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здоровьесберегающих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технологий: — рациональная плотность урока (время, затраченное школьниками на учебную работу) должна составлять не менее 60 % и не более 75–80 %; — в содержательной части урока должны быть включены вопросы, связанные со здоровьем учащихся, способствующие формированию у обучающихся ценностей здорового образа жизни и потребностей в нем; — количество видов учебной деятельности (опрос, письмо, чтение, слушание, рассказ, рассматривание наглядных пособий, ответы на вопросы, решение примеров и т. д.) должно быть 4–7, а их смена осуществляться через 7–10 мин.; — в урок необходимо включать виды деятельности, способствующие развитию памяти, логического и критического мышления; — в течение урока должно быть использовано не менее 2-х технологий преподавания (при выборе технологий необходимо учитывать и то: способствуют ли они активизации инициативы и творческого самовыражения учащихся); — обучение должно производиться с учетом ведущих каналов восприятия информации учащимися (аудиовизуальный, кинестетический и т. д.); — должен осуществляться контроль научности изучаемого материала; — необходимо формировать внешнюю и внутреннюю мотивацию деятельности учащихся; — необходимо осуществлять индивидуальный подход к учащимся с учетом личностных возможностей; — на уроке нужно создавать благоприятный психологический климат и обязательно ситуации успеха и эмоциональные разрядки, т. к. результат любого труда, а особенно умственного, зависит от настроения, от психологического климата — в недоброжелательной обстановке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утомление</w:t>
      </w:r>
      <w:r w:rsidRPr="005040EB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наступает быстрее; — нужно включать в урок технологические приемы и методы, способствующие самопознанию, самооценке учащихся; — необходимо для увеличения работоспособности и подавления утомляемости включать в урок физкультминутки, определять их место, содержание и длительность (лучше на 20-ой и 35-ой минутах урока, длительностью — 1 мин., состоящие из 3-х легких упражнений с 3–4 повторениями каждого). — необходимо производить целенаправленную рефлексию в течение всего урока и в итоговой его части. Элементы физической культуры помимо самого урока физкультуры могут быть использованы на других уроках и переменах: физкультминутки,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физкультпаузы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динамические (подвижные) перемены. Такой активный отдых призван решать целый ряд задач: предупреждение раннего умственного утомления и восстановление умственной работоспособности активизацией мозгового кровообращения и переключением внимания; устранение застойных явлений в кровообращении и дыхательной системе упражнениями в глубоком дыхании и в ритмичных чередованиях сокращений и расслаблений мышц, обеспечивающих аккомодацию глаза; устранение неблагоприятных последствий длительного растяжения и расслабления мышц спины, отвечающих за осанку и другое. Обеспечение необходимых гигиенических условий в учебных помещениях. Освещение и характеристика воздуха в спортивном зале, температурный режим. Все это достаточно полно регламентируется соответствующими санитарно-гигиеническими нормами. Педагогическая технология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здоровьесбережения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 моей деятельности включает в себя: знакомство с результатами медицинских осмотров детей; их учёт в учебно-воспитательной работе; помощь родителям в построении здоровой жизнедеятельности учащихся и семьи в целом; создание условий для 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заинтересованного отношения к учёбе. Одним из главных направлений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здоровьесбережения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считаю создание здорового психологического климата на уроках. Так, ситуация успеха способствует формированию положительной мотивации к процессу обучения в целом, тем самым снижая эмоциональную напряженность, улучшая комфортность взаимоотношений всех участников образовательного процесса. На своих уроках уделяю внимание организации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здоровьесберегающих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факторов. Контрольные испытания, задания, тестирование дают мне исходную (и текущую) информацию для разработки индивидуальных заданий, суть которых — учащийся должен в каждый очередной период времени продвинуться дальше, что и подтвердит следующее тестирование. Во время урока я чередую различные виды учебной деятельности; использую методы, способствующие активизации инициативы и творческого самовыражения моих учеников. Большое значение имеет и эмоциональный климат на уроке: «хороший смех дарит здоровье», мажорность урока, эмоциональная мотивация в начале урока, создание ситуации успеха. И, конечно же, при выборе форм, содержания и методов работы я учитываю возраст, пол учащихся, состояние здоровья, уровень их развития и подготовленности. На своих занятиях обеспечиваю необходимые условия в соответствии с санитарно-гигиеническими нормами (освещение, характеристика воздуха, температурный режим). Сама жизнь убеждает нас в том, что целенаправленная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здоровьесберегающая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деятельность педагога — это формирование и совершенствование культуры здоровья ребенка в педагогических системах. Ведь </w:t>
      </w:r>
      <w:proofErr w:type="gram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главное</w:t>
      </w:r>
      <w:proofErr w:type="gram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чему должен научиться ученик, выйдя из стен школы — умению адаптироваться в обществе, раскрыться как творческая Личность и быть достойным Гражданином своей страны. </w:t>
      </w:r>
    </w:p>
    <w:p w:rsidR="00426373" w:rsidRDefault="00426373" w:rsidP="00426373">
      <w:pPr>
        <w:ind w:left="-567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Литература:</w:t>
      </w:r>
    </w:p>
    <w:p w:rsidR="00426373" w:rsidRDefault="00426373" w:rsidP="00426373">
      <w:pPr>
        <w:ind w:left="-567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426373" w:rsidRDefault="00426373" w:rsidP="00426373">
      <w:pPr>
        <w:ind w:left="-567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426373" w:rsidRPr="00426373" w:rsidRDefault="00426373" w:rsidP="00426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Л. Б. </w:t>
      </w:r>
      <w:proofErr w:type="spellStart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Дыхан</w:t>
      </w:r>
      <w:proofErr w:type="spellEnd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«Теория и практика </w:t>
      </w:r>
      <w:proofErr w:type="spellStart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здоровьесберегающей</w:t>
      </w:r>
      <w:proofErr w:type="spellEnd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деятельности в школе». — Ростов н/Д: Феникс, 2009. — (Библиотека учителя).</w:t>
      </w:r>
    </w:p>
    <w:p w:rsidR="00426373" w:rsidRPr="00426373" w:rsidRDefault="00426373" w:rsidP="00C410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      Фундаментальное ядро содержания общего </w:t>
      </w:r>
      <w:proofErr w:type="spellStart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образо</w:t>
      </w:r>
      <w:proofErr w:type="spellEnd"/>
      <w:r w:rsidRPr="004263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</w:rPr>
        <w:t>􏰀</w:t>
      </w: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Ф94 </w:t>
      </w:r>
      <w:proofErr w:type="spellStart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вания</w:t>
      </w:r>
      <w:proofErr w:type="spellEnd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/ Рос. акад. наук, Рос. акад. образования; под ред. В. В. Козлова, А. М. </w:t>
      </w:r>
      <w:proofErr w:type="spellStart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Кондакова</w:t>
      </w:r>
      <w:proofErr w:type="spellEnd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 — 4</w:t>
      </w:r>
      <w:r w:rsidRPr="004263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</w:rPr>
        <w:t>􏰀</w:t>
      </w: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е изд., </w:t>
      </w:r>
      <w:proofErr w:type="spellStart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дораб</w:t>
      </w:r>
      <w:proofErr w:type="spellEnd"/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 — М.: Просвещение, 2011. — 79 с. — (Стандарты второго поколения). — ISBN 978</w:t>
      </w:r>
      <w:r w:rsidRPr="004263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</w:rPr>
        <w:t>􏰀</w:t>
      </w: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5</w:t>
      </w:r>
      <w:r w:rsidRPr="004263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</w:rPr>
        <w:t>􏰀</w:t>
      </w: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09</w:t>
      </w:r>
      <w:r w:rsidRPr="004263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</w:rPr>
        <w:t>􏰀</w:t>
      </w:r>
      <w:r w:rsidRPr="0042637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018580</w:t>
      </w:r>
      <w:r w:rsidRPr="004263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</w:rPr>
        <w:t>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6. УДК 37.01 ББК 74.2022</w:t>
      </w:r>
      <w:bookmarkStart w:id="0" w:name="_GoBack"/>
      <w:bookmarkEnd w:id="0"/>
    </w:p>
    <w:p w:rsidR="00426373" w:rsidRDefault="00426373" w:rsidP="00426373">
      <w:pPr>
        <w:ind w:left="-567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3</w:t>
      </w: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      Ю. В. Науменко «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Здоровьесберегающая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деятельность школы: мониторинг эффективности». Методические рекомендации для педагогов и руководителей общеобразовательных учреждений. — М.: Издательство «Глобус», 2009. (Управление школой).</w:t>
      </w:r>
    </w:p>
    <w:p w:rsidR="00426373" w:rsidRP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3.      М. А. Павлова «Формирование эффективной модели 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здоровьесберегающего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учреждения» (Материалы к педагогическим советам по данным института возрастной физиологии РАО). — Саратов, 2006.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4.      Т. И. Агишева «Здоровье современных подростков и 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здоровьесберегающие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технологии в школе». http:/www.allbest.ru/dip/. </w:t>
      </w:r>
    </w:p>
    <w:p w:rsidR="00426373" w:rsidRDefault="00426373" w:rsidP="00426373">
      <w:pPr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5.      М. Южаков, «</w:t>
      </w:r>
      <w:proofErr w:type="spell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Здоровьесберегающие</w:t>
      </w:r>
      <w:proofErr w:type="spell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технологии в условиях предпрофессионального </w:t>
      </w:r>
      <w:proofErr w:type="gram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образования»/</w:t>
      </w:r>
      <w:proofErr w:type="gram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/ Знание — власть, 2006, № 30. </w:t>
      </w:r>
    </w:p>
    <w:p w:rsidR="002F0BB3" w:rsidRPr="00426373" w:rsidRDefault="00426373" w:rsidP="00426373">
      <w:pPr>
        <w:rPr>
          <w:rFonts w:ascii="Times New Roman" w:hAnsi="Times New Roman" w:cs="Times New Roman"/>
          <w:sz w:val="28"/>
          <w:szCs w:val="28"/>
        </w:rPr>
      </w:pPr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7.      Сальникова Т. П. Педагогические технологии: Учебное пособие /</w:t>
      </w:r>
      <w:proofErr w:type="gramStart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М.:ТЦ</w:t>
      </w:r>
      <w:proofErr w:type="gramEnd"/>
      <w:r w:rsidRPr="005040E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Сфера, 2005.</w:t>
      </w:r>
    </w:p>
    <w:sectPr w:rsidR="002F0BB3" w:rsidRPr="0042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53A"/>
    <w:multiLevelType w:val="hybridMultilevel"/>
    <w:tmpl w:val="46BE3732"/>
    <w:lvl w:ilvl="0" w:tplc="C08C5FF2">
      <w:start w:val="1"/>
      <w:numFmt w:val="decimal"/>
      <w:lvlText w:val="%1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07"/>
    <w:rsid w:val="002F0BB3"/>
    <w:rsid w:val="00426373"/>
    <w:rsid w:val="006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D03C-59A4-45B6-A6DC-CF54A9AF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743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15" w:color="DDDDDD"/>
            <w:bottom w:val="single" w:sz="6" w:space="4" w:color="DDDDDD"/>
            <w:right w:val="single" w:sz="6" w:space="15" w:color="DDDDDD"/>
          </w:divBdr>
        </w:div>
        <w:div w:id="1609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2601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2025-01-14T10:35:00Z</dcterms:created>
  <dcterms:modified xsi:type="dcterms:W3CDTF">2025-01-14T10:42:00Z</dcterms:modified>
</cp:coreProperties>
</file>