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rFonts w:ascii="Times New Roman" w:hAnsi="Times New Roman" w:cs="Times New Roman" w:eastAsia="Times New Roman"/>
          <w:b/>
          <w:sz w:val="32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32"/>
          <w:highlight w:val="white"/>
        </w:rPr>
        <w:t xml:space="preserve">СОВ</w:t>
      </w:r>
      <w:r>
        <w:rPr>
          <w:rFonts w:ascii="Times New Roman" w:hAnsi="Times New Roman" w:cs="Times New Roman" w:eastAsia="Times New Roman"/>
          <w:b/>
          <w:sz w:val="32"/>
          <w:highlight w:val="white"/>
        </w:rPr>
        <w:t xml:space="preserve">РЕМЕННАЯ </w:t>
      </w:r>
      <w:r>
        <w:rPr>
          <w:rFonts w:ascii="Times New Roman" w:hAnsi="Times New Roman" w:cs="Times New Roman" w:eastAsia="Times New Roman"/>
          <w:b/>
          <w:sz w:val="32"/>
          <w:highlight w:val="none"/>
        </w:rPr>
        <w:t xml:space="preserve">БАНКО</w:t>
      </w:r>
      <w:r>
        <w:rPr>
          <w:rFonts w:ascii="Times New Roman" w:hAnsi="Times New Roman" w:cs="Times New Roman" w:eastAsia="Times New Roman"/>
          <w:b/>
          <w:sz w:val="32"/>
        </w:rPr>
        <w:t xml:space="preserve">ВСКАЯ СИСТЕМА: </w:t>
      </w:r>
      <w:r>
        <w:rPr>
          <w:rFonts w:ascii="Times New Roman" w:hAnsi="Times New Roman" w:cs="Times New Roman" w:eastAsia="Times New Roman"/>
          <w:b/>
          <w:sz w:val="32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b/>
          <w:sz w:val="32"/>
          <w:highlight w:val="white"/>
        </w:rPr>
        <w:t xml:space="preserve">РОБЛЕМЫ И ПЕРСПЕКТИВЫ РАЗВИТИЯ</w:t>
      </w:r>
      <w:r>
        <w:rPr>
          <w:rFonts w:ascii="Times New Roman" w:hAnsi="Times New Roman" w:cs="Times New Roman" w:eastAsia="Times New Roman"/>
          <w:b/>
          <w:sz w:val="32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 w:val="0"/>
        <w:ind w:left="3118" w:right="0" w:firstLine="720"/>
        <w:jc w:val="both"/>
        <w:spacing w:line="276" w:lineRule="auto"/>
        <w:rPr>
          <w:rFonts w:ascii="Times New Roman" w:hAnsi="Times New Roman" w:cs="Times New Roman" w:eastAsia="Times New Roman"/>
          <w:i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/>
          <w:sz w:val="28"/>
          <w:highlight w:val="none"/>
        </w:rPr>
        <w:t xml:space="preserve">В статье рассматриваются основные показатели современной банковской системы. </w:t>
      </w:r>
      <w:r>
        <w:rPr>
          <w:rFonts w:ascii="Times New Roman" w:hAnsi="Times New Roman" w:cs="Times New Roman" w:eastAsia="Times New Roman"/>
          <w:b w:val="0"/>
          <w:i/>
          <w:sz w:val="28"/>
          <w:highlight w:val="none"/>
        </w:rPr>
        <w:t xml:space="preserve">Анализируются </w:t>
      </w:r>
      <w:r>
        <w:rPr>
          <w:rFonts w:ascii="Times New Roman" w:hAnsi="Times New Roman" w:cs="Times New Roman" w:eastAsia="Times New Roman"/>
          <w:b w:val="0"/>
          <w:i/>
          <w:sz w:val="28"/>
          <w:highlight w:val="none"/>
        </w:rPr>
        <w:t xml:space="preserve">основные тенденции и проблемы развития банковской системы на современном этапе. Выявлены возможные пути дальнейшего развития банковской системы. Цель работы: найти меры по</w:t>
      </w:r>
      <w:r>
        <w:rPr>
          <w:rFonts w:ascii="Times New Roman" w:hAnsi="Times New Roman" w:cs="Times New Roman" w:eastAsia="Times New Roman"/>
          <w:b w:val="0"/>
          <w:i/>
          <w:sz w:val="28"/>
          <w:highlight w:val="none"/>
        </w:rPr>
        <w:t xml:space="preserve"> укреплению банковского сектора.</w:t>
      </w:r>
      <w:r>
        <w:rPr>
          <w:rFonts w:ascii="Times New Roman" w:hAnsi="Times New Roman" w:cs="Times New Roman" w:eastAsia="Times New Roman"/>
          <w:b w:val="0"/>
          <w:i/>
          <w:sz w:val="28"/>
          <w:highlight w:val="none"/>
        </w:rPr>
      </w:r>
      <w:r/>
    </w:p>
    <w:p>
      <w:pPr>
        <w:contextualSpacing w:val="0"/>
        <w:ind w:left="3118" w:right="0" w:firstLine="720"/>
        <w:jc w:val="both"/>
        <w:spacing w:line="276" w:lineRule="auto"/>
        <w:rPr>
          <w:rFonts w:ascii="Times New Roman" w:hAnsi="Times New Roman" w:cs="Times New Roman" w:eastAsia="Times New Roman"/>
          <w:i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8"/>
          <w:highlight w:val="none"/>
        </w:rPr>
        <w:t xml:space="preserve">Ключевые слова:</w:t>
      </w:r>
      <w:r>
        <w:rPr>
          <w:rFonts w:ascii="Times New Roman" w:hAnsi="Times New Roman" w:cs="Times New Roman" w:eastAsia="Times New Roman"/>
          <w:i/>
          <w:sz w:val="28"/>
          <w:highlight w:val="none"/>
        </w:rPr>
        <w:t xml:space="preserve"> банковская система РФ, </w:t>
      </w:r>
      <w:r>
        <w:rPr>
          <w:rFonts w:ascii="Times New Roman" w:hAnsi="Times New Roman" w:cs="Times New Roman" w:eastAsia="Times New Roman"/>
          <w:i/>
          <w:sz w:val="28"/>
          <w:highlight w:val="none"/>
        </w:rPr>
        <w:t xml:space="preserve">кредитные организации,</w:t>
      </w:r>
      <w:r>
        <w:rPr>
          <w:rFonts w:ascii="Times New Roman" w:hAnsi="Times New Roman" w:cs="Times New Roman" w:eastAsia="Times New Roman"/>
          <w:i/>
          <w:sz w:val="28"/>
          <w:highlight w:val="none"/>
        </w:rPr>
        <w:t xml:space="preserve"> экономика государства, банковская деятельность, банковские счета.</w:t>
      </w:r>
      <w:r/>
    </w:p>
    <w:p>
      <w:pPr>
        <w:contextualSpacing w:val="0"/>
        <w:ind w:left="0" w:right="0" w:firstLine="720"/>
        <w:jc w:val="both"/>
        <w:spacing w:line="276" w:lineRule="auto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Анализ банковской системы имеет важное значение для обеспечения финансовой стабильности, оценки рисков и принятия обоснованных решений различными участниками экономики.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Происходящее в кредитных организациях требует более глубокого изучения с целью определения ключевых тенденций, свойственных финансовому сектору и, в том числе, банковскому, например, для выхода на зарубежные рынки.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contextualSpacing w:val="0"/>
        <w:ind w:left="0" w:right="0" w:firstLine="720"/>
        <w:jc w:val="both"/>
        <w:spacing w:line="276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Банковская система играет важную роль в экономике любого государства.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Однако, как и любая другая сфера, она сталкивается с рядом проблем, которые могут повлиять на ее дальнейшее развитие.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В настоящее время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банковская система находится в постоянной адаптации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на изменение ситуации. Б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анковская система Российской Федерации испытывает определенные трудности, которые связаны с ответственностью по принятым обязательствам, где сосредоточено множество различных рисков как во внешней, так и внутренней среде.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Такие факторы, как макроэкономическая нестабильность, введение санкций в отношение экономики России, ослабление рубля и другие снижают уровень банковской системы, в том числе приводят к непостоянству основных показателей банковской системы.</w:t>
      </w:r>
      <w:r>
        <w:rPr>
          <w:color w:val="000000" w:themeColor="text1"/>
          <w:sz w:val="28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pacing w:val="-3"/>
          <w:sz w:val="28"/>
          <w:highlight w:val="none"/>
        </w:rPr>
        <w:t xml:space="preserve">Поск</w:t>
      </w:r>
      <w:r>
        <w:rPr>
          <w:rFonts w:ascii="Times New Roman" w:hAnsi="Times New Roman" w:cs="Times New Roman" w:eastAsia="Times New Roman"/>
          <w:color w:val="000000" w:themeColor="text1"/>
          <w:spacing w:val="-3"/>
          <w:sz w:val="28"/>
          <w:highlight w:val="none"/>
        </w:rPr>
        <w:t xml:space="preserve">ольку кредитные организации, привлекая средства клиентов, несут ответственность перед кредиторами и вкладчиками, а так же являются важным показателем банковской системы, к ним предъявляется ряд требований, в частности по соблюдению обязательных нормативов.</w:t>
      </w:r>
      <w:r>
        <w:rPr>
          <w:rFonts w:ascii="Times New Roman" w:hAnsi="Times New Roman" w:cs="Times New Roman" w:eastAsia="Times New Roman"/>
          <w:color w:val="000000" w:themeColor="text1"/>
          <w:spacing w:val="-3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pacing w:val="-3"/>
          <w:sz w:val="28"/>
          <w:highlight w:val="none"/>
        </w:rPr>
        <w:t xml:space="preserve">По состоянию на 1 сентября 2024 года</w:t>
      </w:r>
      <w:r>
        <w:rPr>
          <w:rFonts w:ascii="Times New Roman" w:hAnsi="Times New Roman" w:cs="Times New Roman" w:eastAsia="Times New Roman"/>
          <w:color w:val="000000" w:themeColor="text1"/>
          <w:spacing w:val="-3"/>
          <w:sz w:val="28"/>
          <w:highlight w:val="none"/>
        </w:rPr>
        <w:t xml:space="preserve"> в России 317 действующих банков: 221 банк с универсальной лицензией, 96 — с базовой и 37 небанковских кредитных организаций.</w:t>
      </w:r>
      <w:r>
        <w:rPr>
          <w:rFonts w:ascii="Times New Roman" w:hAnsi="Times New Roman" w:cs="Times New Roman" w:eastAsia="Times New Roman"/>
          <w:color w:val="000000" w:themeColor="text1"/>
          <w:spacing w:val="-3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Устойчивость кредитных организа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й находится в непосредственной зависимости от устойчивости экономики страны в целом, а также политики, проводимой Правительством и Центральным банком Российской Федерации. В диаграмме 1 представлена динамика количества действующих банков с 2022 по 2024 гг</w:t>
      </w:r>
      <w:r>
        <w:rPr>
          <w:rStyle w:val="853"/>
          <w:rFonts w:ascii="Times New Roman" w:hAnsi="Times New Roman" w:cs="Times New Roman" w:eastAsia="Times New Roman"/>
          <w:color w:val="000000"/>
          <w:sz w:val="28"/>
        </w:rPr>
        <w:footnoteReference w:id="2"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Диаграмма 1 -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динамика количества действующих банков в РФ с 2022 по 2024 гг.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709"/>
        <w:jc w:val="center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drawing>
          <wp:inline distT="0" distB="0" distL="0" distR="0">
            <wp:extent cx="2743687" cy="2024087"/>
            <wp:effectExtent l="4762" t="4762" r="4762" b="4762"/>
            <wp:docPr id="1" name="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709"/>
        <w:jc w:val="center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b w:val="0"/>
          <w:color w:val="162136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 период с 2022 года по 2024 год количество кредитных организаций заметно сократилось. Одной из основных причин является волна отзывов лицензий Центральным банком Российской Федерации, начавшаяся 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ещё во время экономического кризиса 2020 года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Как правило, Банк России отзывает лице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нзии у кредитных организаций за систематические нарушения требований законодательства России и нормативных актов самого регулятора. Например, причиной может стать выявление признаков финансовых проблем или банкротства, недобросовестной деятельности или осу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ществления операций, на которые у банка нет лицензии. 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Таким образом Банк России сокращает размер и численность игроков российского финансового рынка.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 По прогнозу «Эксперт РА»,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в ближайшем будущем лишение лицензий будет продолжаться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, так как Центральный банк Российской Федерации так же 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внимательно 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будет следить за банками, которые проводят высокорискованные операции. </w:t>
      </w:r>
      <w:r>
        <w:rPr>
          <w:rFonts w:ascii="Times New Roman" w:hAnsi="Times New Roman" w:cs="Times New Roman" w:eastAsia="Times New Roman"/>
          <w:b w:val="0"/>
          <w:color w:val="162136"/>
          <w:sz w:val="28"/>
          <w:highlight w:val="none"/>
        </w:rPr>
        <w:t xml:space="preserve">То есть,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финансовая нестабильность кредитных учреждений</w:t>
      </w:r>
      <w:r>
        <w:rPr>
          <w:rFonts w:ascii="Times New Roman" w:hAnsi="Times New Roman" w:cs="Times New Roman" w:eastAsia="Times New Roman"/>
          <w:b w:val="0"/>
          <w:color w:val="162136"/>
          <w:sz w:val="28"/>
          <w:highlight w:val="none"/>
        </w:rPr>
        <w:t xml:space="preserve"> является одной из проблем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развития российской банковской системы.</w:t>
      </w:r>
      <w:r>
        <w:rPr>
          <w:b w:val="0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162136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Как и количество кредитных организаций, прибыль банков находится далеко не в стабильном состоянии. 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t xml:space="preserve">В таблице 2 представлены данные о прибыли коммерческих банков с 2022 по 2024 гг.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162136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162136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Диаграмма 2 –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прибыль, полученная кредитными организациями в РФ с 2022 по 2024 гг.</w:t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162136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  <w:drawing>
          <wp:inline distT="0" distB="0" distL="0" distR="0">
            <wp:extent cx="3360304" cy="1763424"/>
            <wp:effectExtent l="4762" t="4762" r="4762" b="4762"/>
            <wp:docPr id="2" name="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162136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 итогам 2023 года совокупная чистая прибыль российских банков составила 3,3 трлн рублей. По сравнению с кризисным 2022 годом финансовый результат сектора увеличился более чем в 16 раз (тогда прибыль составила всего 203 млрд руб.) и в целом ста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л рекордным за всю современную историю российского рынка — предыдущий максимум был достигнут в 2021 году (2,4 трлн руб.).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К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ак отмечается в обзоре Банка России, в 2023 году участники рынка смогли восстановить основные виды доходов, существенно сократить расходы от резервов, а также получили разовый положительный эффект от валютной переоценки активов на своих балансах на фоне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ослабления рубля в отдельные месяцы.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 прогнозу Банка России, на конец 2024 года чистая прибыль банков будет находиться в диапазоне 2,3–2,8 трлн рублей. В качестве основного ориентира названо значение 2,5 трлн рублей.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Ещё одним значащим показателем является количество и масштаб введенных санкций. Снижение курса рубля спровоцировало рост цен, снижение доходов населения. Центральный Банк РФ повысил ставки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 кредитам, чтобы поддержать валюту, но это привело к уменьшению доступности кредитования для бизнеса и частных лиц, что в свою очередь снизило инвестиции и увеличило безработицу. Банки также столкнулись с рисками невозврата кредитов, что затруднило 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туп кредитования для бизнеса, широких слоев населения.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В конце февраля 2022 г. Европейский союз и США заморозили активы Центрального банка Российской Федерации. Согласно решению Евросоюза, все операции, связанные с управлением резервами Центрального банка Российской Федерации, включая операции с юрид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ическими лицами и государственными органами, действующими от его имени, были запрещены. Международные резервы Центрального банка Российской Федерации на тот период составляли более 600 млрд долларов США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Под санкции попали не только государственные накопления и имущество, но и частный капитал. Западные страны ввели ограничения в отношении российских банков и компаний. В санкционных списках оказались ВТБ, Сбербанк, Газпромбанк и другие кредитные организ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ации.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В целом, в условиях ужесточения международной обстановки финансовые ресурсы становятся дефицитным фактором. Процентные ставки идут вверх, банки приостанавливают розничное кредитование.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Низкий уровень спроса на кредиты со стороны физических лиц из-за высоких процентных ставок - одна из проблем функционирования современной банковской системы Российской Федерации.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Когда Центральный банк Российской Федерации устанавливает высокую ключевую ставку, это значит, что креди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ты для коммерческих банков становятся дороже, и, следовательно, они поднимают ставки для своих клиентов. Гражданам выгоднее открывать вклады и копить деньги, чем тратить их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или кредитоваться.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shd w:val="clear" w:color="auto" w:fill="auto"/>
        <w:tabs>
          <w:tab w:val="left" w:pos="868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апример, с середины октября 2024 года банки начали поднимать ставки по кредитам и депозитам для своих клиентов. Так, средняя стоимость необеспеченных кредитов в 20 крупнейших банках Российской Федерации за полтора месяца выросла на 2,2 процентных пункта — до 31,7% годовых.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Для улучшения деятельности кредитных организаций и для дальнейшего разви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тия банко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вской системы можно ожидать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дальн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ейшего снижения Центральным Б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анком Российской Федерации ключевой ставки, то есть кредиты станут более доступными для населения и бизнеса, увеличится потребительский спрос, а так же низкая ключевая ставка стимулирует компании к инвестициям в развитие, что приведет к росту экономики). Так же, помогло бы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укрепле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ние устойчивости банковского сектора,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таким образом повысится качество осуществления функций по аккумулированию денежных средств и их трансформации в кредиты и инвестиции, укрепятся доверия кредиторов)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 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расширение перечня специальн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ых программ кредитования поможет увеличить количество клиентов, так как чем больше продуктов может предложить банк, тем больше заявок будет поступать в его адрес.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Например, филиалам иностранных банков разрешили деятельность в России с 1 сентября 2024 года с целью развития международных расчётов и привлечения иностранных инвестиций.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Открытие филиалов иностранных банков упростит и ускорит платежи, отечественным компаниям будет легче проводить международные финансовые операции. Следовательно, 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u w:val="none"/>
        </w:rPr>
        <w:t xml:space="preserve">ностранные банки смогут открывать и вести банковские счета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u w:val="none"/>
        </w:rPr>
        <w:t xml:space="preserve">российских компаний, осуществлять денежные переводы, проводить инкассацию и кассовое обслуживание, выдавать гарантии и поручительства, предоставлять в аренду се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u w:val="none"/>
        </w:rPr>
        <w:t xml:space="preserve">йфы и совершать лизинговые операции.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Такой Филиал иностранного банка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должен вести деятельность не менее трех лет и иметь достаточный, согласно критериям Банка России, уровень кредитного рейтинга для работы на российс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ком рынке. Так же,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устанавливается ограничение на открытие только одного филиала иностранного банка и запрещается открытие внутренних структурных подразделений.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Филиал обязан сформировать гарантийный депозит для обеспечения исполнения обязательств по заключенным договорам в размере 1 миллиарда рублей.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Стоит отметить, что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на казанском саммите БРИКС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 вновь обсуждались идеи по созданию единой финансовой системы между странами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, которая позволит им осуществлять трансграничные расчеты с помощью цифровых платформ, управляемых их центральными банками. Организовать ее намерены в течение года. Успех платформы снизит влияние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США как центра мировой финансовой системы и обеспечит более дешевые и быстрые трансакции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 Единая финансовая систе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ма возможна в нескольких форматах. "Во-первых, может быть введена специальная наднациональная расчетная единица как аналог цифрового актива, основанная на корзине национальных валют стран - членов БРИКС. Во-вторых, возможно создание единой платежной инфрас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т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руктуры путем интеграции национальных платежных систем - российской "Мир", китайской UnionPay, бразильской ELO, индийской RuPay и южноафриканской SnapScan в одну общую, которая позволит значительно упростить транзакции", - рассказал "СОЮЗу" доцент кафедры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правового регулирования ТЭК МГИМО (У) МИД России Петр Чувахин</w:t>
      </w:r>
      <w:r>
        <w:rPr>
          <w:rStyle w:val="853"/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footnoteReference w:id="3"/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  <w:u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u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u w:val="none"/>
        </w:rPr>
        <w:t xml:space="preserve">Таким образом,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u w:val="none"/>
        </w:rPr>
        <w:t xml:space="preserve">современная банковская система сталкивается с множеством вызовов, но также имеет возможности для роста и развития. Успех банков в будущем будет зависеть от их способности адаптироваться к изменениям, внедрять новые технологии и предлагать клиента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u w:val="none"/>
        </w:rPr>
        <w:t xml:space="preserve">м качественные и безопасные услуги. Важно, чтобы банки оставались гибкими и ориентированными на потребности клиентов, что позволит им процветать.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76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left="0" w:right="0" w:firstLine="0"/>
        <w:jc w:val="center"/>
        <w:spacing w:before="0" w:after="360" w:line="276" w:lineRule="auto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</w:rPr>
        <w:t xml:space="preserve">Библиографический список</w:t>
      </w:r>
      <w:r>
        <w:rPr>
          <w:color w:val="000000" w:themeColor="text1"/>
        </w:rPr>
      </w:r>
      <w:r/>
    </w:p>
    <w:p>
      <w:pPr>
        <w:pStyle w:val="872"/>
        <w:numPr>
          <w:ilvl w:val="0"/>
          <w:numId w:val="7"/>
        </w:numPr>
        <w:ind w:right="0"/>
        <w:jc w:val="both"/>
        <w:spacing w:before="0" w:after="36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Федеральный закон "О банках и банковской деятельности" от 02.12.1990 N 395-1 (последняя редакция)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// [Электронный ресурс] – Режим доступа – URL: </w:t>
      </w:r>
      <w:hyperlink r:id="rId11" w:tooltip="http://www.consultant.ru" w:history="1"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  <w:t xml:space="preserve">http://www.consultant.ru</w:t>
        </w:r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72"/>
        <w:numPr>
          <w:ilvl w:val="0"/>
          <w:numId w:val="7"/>
        </w:numPr>
        <w:ind w:right="0"/>
        <w:jc w:val="both"/>
        <w:spacing w:before="0" w:after="36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Федеральный закон "О Центральном банке Российской Федерации (Банке России)" от 10.07.2002 N 86-ФЗ (последняя редакция)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// [Электронный ресурс] – Режим доступа – URL: </w:t>
      </w:r>
      <w:hyperlink r:id="rId12" w:tooltip="http://www.consultant.ru" w:history="1"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  <w:t xml:space="preserve">http://www.consultant.ru</w:t>
        </w:r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72"/>
        <w:numPr>
          <w:ilvl w:val="0"/>
          <w:numId w:val="7"/>
        </w:numPr>
        <w:ind w:right="0"/>
        <w:jc w:val="both"/>
        <w:spacing w:before="0" w:after="36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Федеральный закон "О национальной платежной системе" от 27.06.2011 N 161-ФЗ (последняя редакция)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// [Электронный ресурс] – Режим доступа – URL: </w:t>
      </w:r>
      <w:hyperlink r:id="rId13" w:tooltip="http://www.consultant.ru" w:history="1"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  <w:t xml:space="preserve">http://www.consultant.ru</w:t>
        </w:r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72"/>
        <w:numPr>
          <w:ilvl w:val="0"/>
          <w:numId w:val="7"/>
        </w:numPr>
        <w:ind w:right="0"/>
        <w:jc w:val="both"/>
        <w:spacing w:before="0" w:after="36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Центральный Банк Российской Федерации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// [Электронный ресурс] – Режим доступа – URL: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hyperlink r:id="rId14" w:tooltip="https://cbr.ru/" w:history="1"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  <w:t xml:space="preserve">https://cbr.ru/</w:t>
        </w:r>
      </w:hyperlink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/>
    </w:p>
    <w:p>
      <w:pPr>
        <w:pStyle w:val="872"/>
        <w:numPr>
          <w:ilvl w:val="0"/>
          <w:numId w:val="7"/>
        </w:numPr>
        <w:ind w:right="0"/>
        <w:jc w:val="both"/>
        <w:spacing w:before="0" w:after="36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Алексеев Д. Д. «Тенденции и перспективы развития банковской системы России»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//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  <w:t xml:space="preserve">[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Электронный ресурс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  <w:t xml:space="preserve">]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 – Режим доступа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  <w:t xml:space="preserve">URL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hyperlink r:id="rId15" w:tooltip="https://moluch.ru/archive/129/35651/" w:history="1">
        <w:r>
          <w:rPr>
            <w:rStyle w:val="850"/>
            <w:rFonts w:ascii="Times New Roman" w:hAnsi="Times New Roman" w:cs="Times New Roman" w:eastAsia="Times New Roman"/>
            <w:b w:val="0"/>
            <w:i w:val="0"/>
            <w:color w:val="000000" w:themeColor="text1"/>
            <w:sz w:val="28"/>
            <w:highlight w:val="none"/>
          </w:rPr>
          <w:t xml:space="preserve">https://moluch.ru/archive/129/35651/</w:t>
        </w:r>
      </w:hyperlink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</w:rPr>
      </w:r>
      <w:r/>
    </w:p>
    <w:p>
      <w:pPr>
        <w:pStyle w:val="872"/>
        <w:numPr>
          <w:ilvl w:val="0"/>
          <w:numId w:val="7"/>
        </w:numPr>
        <w:ind w:right="0"/>
        <w:jc w:val="both"/>
        <w:spacing w:before="0" w:after="360" w:line="276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Шалина Е.Н. «Банковская система Российской Федерации. Проблемы и перспективы»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 //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  <w:t xml:space="preserve">[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Электронный ресурс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  <w:t xml:space="preserve">]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 – Режим доступа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  <w:t xml:space="preserve">URL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hyperlink r:id="rId16" w:tooltip="https://eduherald.ru/ru/article/view?id=18435" w:history="1">
        <w:r>
          <w:rPr>
            <w:rStyle w:val="850"/>
            <w:rFonts w:ascii="Times New Roman" w:hAnsi="Times New Roman" w:cs="Times New Roman" w:eastAsia="Times New Roman"/>
            <w:color w:val="000000" w:themeColor="text1"/>
            <w:sz w:val="28"/>
            <w:highlight w:val="white"/>
          </w:rPr>
          <w:t xml:space="preserve">https://eduherald.ru/ru/article/view?id=18435</w:t>
        </w:r>
        <w:r>
          <w:rPr>
            <w:rStyle w:val="850"/>
            <w:rFonts w:ascii="Times New Roman" w:hAnsi="Times New Roman" w:cs="Times New Roman" w:eastAsia="Times New Roman"/>
            <w:color w:val="000000" w:themeColor="text1"/>
            <w:sz w:val="28"/>
            <w:highlight w:val="none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</w:rPr>
      </w:r>
      <w:r/>
    </w:p>
    <w:p>
      <w:pPr>
        <w:ind w:left="720" w:right="0" w:firstLine="0"/>
        <w:jc w:val="left"/>
        <w:spacing w:before="0" w:after="360" w:line="276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ind w:left="0" w:right="0" w:firstLine="0"/>
        <w:jc w:val="left"/>
        <w:spacing w:before="0" w:after="360" w:line="276" w:lineRule="auto"/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i w:val="0"/>
          <w:color w:val="000000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1"/>
      </w:pPr>
      <w:r>
        <w:rPr>
          <w:rStyle w:val="853"/>
        </w:rPr>
        <w:footnoteRef/>
      </w:r>
      <w:r>
        <w:t xml:space="preserve"> Источник: </w:t>
      </w:r>
      <w:r>
        <w:t xml:space="preserve">https://cbr.ru/</w:t>
      </w:r>
      <w:r/>
    </w:p>
  </w:footnote>
  <w:footnote w:id="3">
    <w:p>
      <w:pPr>
        <w:pStyle w:val="851"/>
      </w:pPr>
      <w:r>
        <w:rPr>
          <w:rStyle w:val="853"/>
        </w:rPr>
        <w:footnoteRef/>
      </w:r>
      <w:r>
        <w:t xml:space="preserve"> Источник: </w:t>
      </w:r>
      <w:hyperlink r:id="rId1" w:tooltip="https://rg.ru/2024/10/31/razvernut-kupiury.html" w:history="1">
        <w:r>
          <w:rPr>
            <w:rStyle w:val="850"/>
          </w:rPr>
          <w:t xml:space="preserve">https://rg.ru/2024/10/31/razvernut-kupiury.html</w:t>
        </w:r>
        <w:r>
          <w:rPr>
            <w:rStyle w:val="850"/>
          </w:rPr>
        </w:r>
        <w:r>
          <w:rPr>
            <w:rStyle w:val="850"/>
          </w:rPr>
        </w:r>
      </w:hyperlink>
      <w:r>
        <w:t xml:space="preserve">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333333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333333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333333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333333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333333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333333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333333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333333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333333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cs="Arial" w:eastAsia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5">
    <w:name w:val="Heading 2 Char"/>
    <w:link w:val="694"/>
    <w:uiPriority w:val="9"/>
    <w:rPr>
      <w:rFonts w:ascii="Arial" w:hAnsi="Arial" w:cs="Arial" w:eastAsia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cs="Arial" w:eastAsia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cs="Arial" w:eastAsia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cs="Arial" w:eastAsia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cs="Arial" w:eastAsia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cs="Arial" w:eastAsia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cs="Arial" w:eastAsia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hart" Target="charts/chart1.xml" /><Relationship Id="rId10" Type="http://schemas.openxmlformats.org/officeDocument/2006/relationships/chart" Target="charts/chart2.xml" /><Relationship Id="rId11" Type="http://schemas.openxmlformats.org/officeDocument/2006/relationships/hyperlink" Target="http://www.consultant.ru" TargetMode="External"/><Relationship Id="rId12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4" Type="http://schemas.openxmlformats.org/officeDocument/2006/relationships/hyperlink" Target="https://cbr.ru/" TargetMode="External"/><Relationship Id="rId15" Type="http://schemas.openxmlformats.org/officeDocument/2006/relationships/hyperlink" Target="https://moluch.ru/archive/129/35651/" TargetMode="External"/><Relationship Id="rId16" Type="http://schemas.openxmlformats.org/officeDocument/2006/relationships/hyperlink" Target="https://eduherald.ru/ru/article/view?id=184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rg.ru/2024/10/31/razvernut-kupiury.html" TargetMode="External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153000000000001"/>
          <c:y val="0.11834"/>
          <c:w val="0.79007000000000005"/>
          <c:h val="0.57177999999999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 xml:space="preserve">количество действующих банков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19050">
              <a:solidFill>
                <a:schemeClr val="lt1"/>
              </a:solidFill>
            </a:ln>
          </c:spPr>
          <c:cat>
            <c:strRef>
              <c:f>Sheet1!$A$2:$A$7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361</c:v>
                </c:pt>
                <c:pt idx="1">
                  <c:v>327</c:v>
                </c:pt>
                <c:pt idx="2">
                  <c:v>317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19050">
              <a:solidFill>
                <a:schemeClr val="lt1"/>
              </a:solidFill>
            </a:ln>
          </c:spPr>
          <c:cat>
            <c:strRef>
              <c:f>Sheet1!$A$2:$A$7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19050">
              <a:solidFill>
                <a:schemeClr val="lt1"/>
              </a:solidFill>
            </a:ln>
          </c:spPr>
          <c:cat>
            <c:strRef>
              <c:f>Sheet1!$A$2:$A$7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89"/>
        <c:axId val="1866169490"/>
      </c:barChart>
      <c:catAx>
        <c:axId val="186616948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1866169490"/>
        <c:crosses val="autoZero"/>
        <c:auto val="1"/>
        <c:lblAlgn val="ctr"/>
        <c:lblOffset val="100"/>
        <c:tickMarkSkip val="1"/>
        <c:noMultiLvlLbl val="0"/>
      </c:catAx>
      <c:valAx>
        <c:axId val="1866169490"/>
        <c:scaling>
          <c:orientation val="minMax"/>
          <c:max val="370"/>
          <c:min val="300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186616948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17000999999999999"/>
          <c:y val="0.87166999999999994"/>
          <c:w val="0.72319999999999995"/>
          <c:h val="0.041020000000000001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2743687" cy="202408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прибыль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0.203</c:v>
                </c:pt>
                <c:pt idx="1">
                  <c:v>3.3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>
              <a:noFill/>
              <a:miter/>
            </a:ln>
          </c:spPr>
          <c:invertIfNegative val="0"/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0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219"/>
        <c:overlap val="-26"/>
        <c:axId val="1866169497"/>
        <c:axId val="1866169498"/>
      </c:barChart>
      <c:catAx>
        <c:axId val="186616949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1866169498"/>
        <c:crosses val="autoZero"/>
        <c:auto val="1"/>
        <c:lblAlgn val="ctr"/>
        <c:lblOffset val="100"/>
        <c:noMultiLvlLbl val="0"/>
      </c:catAx>
      <c:valAx>
        <c:axId val="186616949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186616949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39545999999999998"/>
          <c:y val="0.89729999999999999"/>
          <c:w val="0.19384000000000001"/>
          <c:h val="0.072550000000000003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3360304" cy="176342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2024-12-25T20:46:42Z</dcterms:modified>
</cp:coreProperties>
</file>