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91692" w14:textId="0CF652E9" w:rsidR="00E46F85" w:rsidRDefault="00E46F85" w:rsidP="00E46F85">
      <w:pPr>
        <w:jc w:val="center"/>
        <w:rPr>
          <w:b/>
          <w:bCs/>
        </w:rPr>
      </w:pPr>
      <w:r w:rsidRPr="00E46F85">
        <w:rPr>
          <w:b/>
          <w:bCs/>
        </w:rPr>
        <w:t>ПРОСТАЯ ГРУППА ЛИЦ КАК РАЗНОВИДНОСТЬ СОУЧАСТИЯ И КВАЛИФИКАЦИЯ ГРУППОВЫХ ПРЕСТУПЛЕНИЙ</w:t>
      </w:r>
    </w:p>
    <w:p w14:paraId="61EEE3B7" w14:textId="77777777" w:rsidR="00E46F85" w:rsidRDefault="00E46F85" w:rsidP="00E46F85">
      <w:pPr>
        <w:jc w:val="center"/>
      </w:pPr>
    </w:p>
    <w:p w14:paraId="24A2CB1C" w14:textId="77777777" w:rsidR="00E46F85" w:rsidRPr="00DB73B7" w:rsidRDefault="00E46F85" w:rsidP="00E46F85">
      <w:pPr>
        <w:jc w:val="center"/>
      </w:pPr>
      <w:r w:rsidRPr="00C872C7">
        <w:rPr>
          <w:b/>
          <w:bCs/>
        </w:rPr>
        <w:t>Савельева Анастасия Викторовна</w:t>
      </w:r>
      <w:r w:rsidRPr="00DB73B7">
        <w:t>, студент</w:t>
      </w:r>
    </w:p>
    <w:p w14:paraId="1456ACAB" w14:textId="77777777" w:rsidR="00E46F85" w:rsidRPr="00DB73B7" w:rsidRDefault="00E46F85" w:rsidP="00E46F85">
      <w:pPr>
        <w:jc w:val="center"/>
      </w:pPr>
      <w:r w:rsidRPr="00DB73B7">
        <w:t>(</w:t>
      </w:r>
      <w:proofErr w:type="spellStart"/>
      <w:r w:rsidRPr="00DB73B7">
        <w:t>e-mail</w:t>
      </w:r>
      <w:proofErr w:type="spellEnd"/>
      <w:r w:rsidRPr="00DB73B7">
        <w:t>:)</w:t>
      </w:r>
    </w:p>
    <w:p w14:paraId="5C2AD823" w14:textId="77777777" w:rsidR="00E46F85" w:rsidRPr="00DB73B7" w:rsidRDefault="00E46F85" w:rsidP="00E46F85">
      <w:pPr>
        <w:jc w:val="center"/>
      </w:pPr>
      <w:r w:rsidRPr="00DB73B7">
        <w:t>Челябинский Государственный университет, г. Челябинск, Россия</w:t>
      </w:r>
    </w:p>
    <w:p w14:paraId="72B2A382" w14:textId="77777777" w:rsidR="00E46F85" w:rsidRPr="00DB73B7" w:rsidRDefault="00E46F85" w:rsidP="00E46F85">
      <w:pPr>
        <w:jc w:val="center"/>
      </w:pPr>
      <w:r w:rsidRPr="00DB73B7">
        <w:t xml:space="preserve">Научный руководитель </w:t>
      </w:r>
      <w:proofErr w:type="spellStart"/>
      <w:r w:rsidRPr="00C872C7">
        <w:rPr>
          <w:b/>
          <w:bCs/>
        </w:rPr>
        <w:t>Дробот</w:t>
      </w:r>
      <w:proofErr w:type="spellEnd"/>
      <w:r w:rsidRPr="00C872C7">
        <w:rPr>
          <w:b/>
          <w:bCs/>
        </w:rPr>
        <w:t xml:space="preserve"> Сергей Александрович</w:t>
      </w:r>
      <w:r w:rsidRPr="00DB73B7">
        <w:t xml:space="preserve">​, </w:t>
      </w:r>
      <w:proofErr w:type="spellStart"/>
      <w:r w:rsidRPr="00DB73B7">
        <w:t>к.ю.н</w:t>
      </w:r>
      <w:proofErr w:type="spellEnd"/>
      <w:r w:rsidRPr="00DB73B7">
        <w:t>., доцент</w:t>
      </w:r>
    </w:p>
    <w:p w14:paraId="4A37A88A" w14:textId="77777777" w:rsidR="00E46F85" w:rsidRPr="00C872C7" w:rsidRDefault="00E46F85" w:rsidP="00E46F85">
      <w:pPr>
        <w:jc w:val="center"/>
        <w:rPr>
          <w:lang w:val="en-US"/>
        </w:rPr>
      </w:pPr>
      <w:r w:rsidRPr="00C872C7">
        <w:rPr>
          <w:lang w:val="en-US"/>
        </w:rPr>
        <w:t>(e-mail: drobots@mail.ru)</w:t>
      </w:r>
    </w:p>
    <w:p w14:paraId="544988C7" w14:textId="77777777" w:rsidR="00E46F85" w:rsidRPr="00DB73B7" w:rsidRDefault="00E46F85" w:rsidP="00E46F85">
      <w:pPr>
        <w:jc w:val="center"/>
      </w:pPr>
      <w:r w:rsidRPr="00DB73B7">
        <w:t>Челябинский Государственный университет, г. Челябинск, Россия</w:t>
      </w:r>
    </w:p>
    <w:p w14:paraId="2411218C" w14:textId="77777777" w:rsidR="00E46F85" w:rsidRPr="0031718C" w:rsidRDefault="00E46F85" w:rsidP="00E46F85">
      <w:pPr>
        <w:jc w:val="center"/>
      </w:pPr>
    </w:p>
    <w:p w14:paraId="285A6396" w14:textId="02641D2C" w:rsidR="00E46F85" w:rsidRPr="00E46F85" w:rsidRDefault="00E46F85" w:rsidP="00E46F85">
      <w:pPr>
        <w:rPr>
          <w:i/>
          <w:iCs/>
        </w:rPr>
      </w:pPr>
      <w:r w:rsidRPr="00E46F85">
        <w:rPr>
          <w:i/>
          <w:iCs/>
        </w:rPr>
        <w:t xml:space="preserve">Статья посвящена анализу простой группы как формы соучастия в преступлении, регулируемой уголовным законодательством Российской Федерации. Простая группа характеризуется совместными действиями двух или более лиц, направленными на достижение общей преступной цели, при отсутствии предварительного сговора и распределения ролей. Рассматриваются ключевые признаки этой формы соучастия, такие как совместность действий и общий умысел, а также особенности её квалификации в уголовно-правовой практике. </w:t>
      </w:r>
    </w:p>
    <w:p w14:paraId="2EAB3C32" w14:textId="41DC4948" w:rsidR="00E46F85" w:rsidRDefault="00E46F85" w:rsidP="00E46F85">
      <w:pPr>
        <w:rPr>
          <w:i/>
          <w:iCs/>
        </w:rPr>
      </w:pPr>
      <w:r w:rsidRPr="00E46F85">
        <w:rPr>
          <w:i/>
          <w:iCs/>
        </w:rPr>
        <w:t>Ключевые слова: уголовное право, соучастие, простая группа, группа лиц, совместность действий, общий умысел, квалификация преступлений, судебная практика, доказательства, правоприменение.</w:t>
      </w:r>
    </w:p>
    <w:p w14:paraId="3AF418F6" w14:textId="77777777" w:rsidR="00E46F85" w:rsidRPr="00E46F85" w:rsidRDefault="00E46F85" w:rsidP="00E46F85">
      <w:pPr>
        <w:rPr>
          <w:i/>
          <w:iCs/>
        </w:rPr>
      </w:pPr>
    </w:p>
    <w:p w14:paraId="202CA23B" w14:textId="2C50C852" w:rsidR="0025415B" w:rsidRPr="0025415B" w:rsidRDefault="0025415B" w:rsidP="0025415B">
      <w:r w:rsidRPr="0025415B">
        <w:t>Групповое преступление – это форма соучастия, когда двое или более лиц совместно осуществляют преступное намерение, однако при этом отсутствует предварительная договоренность о конкретном способе совершения преступления. Данная категория преступлений охватывает случаи, когда участия в преступлении осуществляются в рамках неорганизованной группы [4, с. 109-110]. В соответствии с ч. 1 ст.35 УК РФ</w:t>
      </w:r>
      <w:r>
        <w:t xml:space="preserve"> </w:t>
      </w:r>
      <w:r w:rsidRPr="0025415B">
        <w:t>[1], под группой лиц понимается совместное действие двух или более физических лиц при совершении преступления, когда их действия взаимосвязаны и направлены на достижение общего преступного результата.</w:t>
      </w:r>
    </w:p>
    <w:p w14:paraId="6B587C36" w14:textId="77777777" w:rsidR="0025415B" w:rsidRPr="0025415B" w:rsidRDefault="0025415B" w:rsidP="0025415B">
      <w:r w:rsidRPr="0025415B">
        <w:t xml:space="preserve">Рассматривая элементы неорганизованной группы, можно выделить такие характеристики, как «согласованность действий» и «совместное намерение». Согласованность подразумевает, что действия участников осуществляются в одном направлении для достижения общего результата — например, двое лиц могут совместно причинять физический вред третьему лицу, при этом каждый из них вносит свою долю в достижение результата — причинение тяжкого вреда здоровью. Общее намерение — это понимание каждым из участников своей роли и целей в рамках общего преступного замысла. </w:t>
      </w:r>
      <w:proofErr w:type="spellStart"/>
      <w:r w:rsidRPr="0025415B">
        <w:t>Яцеленко</w:t>
      </w:r>
      <w:proofErr w:type="spellEnd"/>
      <w:r w:rsidRPr="0025415B">
        <w:t xml:space="preserve"> Б.В. указывает на спонтанный характер формирования неорганизованной группы, зачастую без предварительного обсуждения их действий [5, с. 36-37].</w:t>
      </w:r>
    </w:p>
    <w:p w14:paraId="3CA20819" w14:textId="77777777" w:rsidR="0025415B" w:rsidRPr="0025415B" w:rsidRDefault="0025415B" w:rsidP="0025415B">
      <w:r w:rsidRPr="0025415B">
        <w:lastRenderedPageBreak/>
        <w:t>При квалификации преступлений, совершенных в составе неорганизованной группы, необходимо учитывать несколько ключевых аспектов: 1) каждый участник группы рассматривается как соисполнитель преступления, поскольку их действия в совокупности формируют объективную сторону состава преступления, и все они несут равную ответственность за содеянное, даже если вклад одного из них незначителен. Например, один из преступников может удерживать жертву, а другой наносить ей телесные повреждения, что образует неорганизованную группу; 2) все участники должны осознавать свою роль и цель во время совершения преступления, иначе квалификация будет проведена без учета этих обстоятельств.</w:t>
      </w:r>
    </w:p>
    <w:p w14:paraId="2F1D70E3" w14:textId="77777777" w:rsidR="0025415B" w:rsidRPr="0025415B" w:rsidRDefault="0025415B" w:rsidP="0025415B">
      <w:r w:rsidRPr="0025415B">
        <w:t>Таким образом, в случае неорганизованной группы соучастников подразумевается наличие у всех участников общего умысла на преступные действия, которые осуществляются без предварительного сговора и четкого распределения ролей. Данный вид соучастия чаще квалифицируется как совместное совершение конкретного преступления. Примером может служить дело № 1-3-28/2019, в ходе которого подсудимый совместно с соучастником, согласовав свои действия, незаконно проникли в помещение ООО «Агрофирма «Новотроицкая», с целью совершения кражи, что квалифицировано как групповой грабеж с незаконным входом на охраняемую территорию [2].</w:t>
      </w:r>
    </w:p>
    <w:p w14:paraId="17808B16" w14:textId="77777777" w:rsidR="0025415B" w:rsidRPr="0025415B" w:rsidRDefault="0025415B" w:rsidP="0025415B">
      <w:r w:rsidRPr="0025415B">
        <w:t>В одном из дел, приговор № 1-195/2019, в ходе предварительного расследования подтвердилось, что два лица, действуя в предварительном сговоре, совершили разбойное нападение (ч. 2 ст. 162 УК). При этом один из них, угрожая потерпевшему ножом, требовал отдать ему деньги и имущество, а другой, осуществляя обыск, похитил у потерпевшего деньги и имущество. При этом действия обоих участников разбойного нападения были согласованными, что позволяет квалифицировать их действия как совместное преступление. Однако один из подсудимых, не зная о намерениях своего соучастника, направленных на использование оружия, оспаривал свою вину в совершении преступления. Этот случай выставил на суд вопрос о наличии соучастия в этом преступлении, так как действия, описанные в ч. 2 ст. 162 УК РФ, требуют совместного умысла. В связи с этим, встает необходимость в глубоком анализе субъективной стороны преступления, так как ее понимание имеет решающее значение для определения квалификации данного преступления. К тому же, как отмечает Бессонов А.А., следует учитывать, что при определении характера и содержания преступных посягательств, осуществляемых несколькими лицами, необходимо учитывать, что они могут действовать как вместе, так и независимо друг от друга, а также иметь разный уровень вовлеченности в совершение преступления [4, с. 110-111].</w:t>
      </w:r>
    </w:p>
    <w:p w14:paraId="39647D92" w14:textId="77777777" w:rsidR="0025415B" w:rsidRPr="0025415B" w:rsidRDefault="0025415B" w:rsidP="0025415B">
      <w:r w:rsidRPr="0025415B">
        <w:t xml:space="preserve">Учитывая вышеизложенное, важно определить ключевые элементы, на которые следует обратить внимание в рамках уголовного преследования </w:t>
      </w:r>
      <w:r w:rsidRPr="0025415B">
        <w:lastRenderedPageBreak/>
        <w:t>соучастников преступлений. Прежде всего, необходимо выделить признаки, которые обуславливают ответственность соучастников. Эти признаки должны включать в себя наличие совместного намерения в осуществлении преступления, что является основополагающим для квалификации действий соучастников. Вторым аспектом является необходимость документирования всех этапов преступной деятельности, что позволит избежать недоразумений и разночтений в ходе судебного разбирательства. Важно отметить, что индивидуальные действия каждого соучастника должны быть четко обозначены и зафиксированы в официальных документах, что позволит правильно определить степень их участия и, соответственно, степень наказания за совершенные деяния.</w:t>
      </w:r>
    </w:p>
    <w:p w14:paraId="5F3214D1" w14:textId="77777777" w:rsidR="0025415B" w:rsidRPr="0025415B" w:rsidRDefault="0025415B" w:rsidP="0025415B">
      <w:r w:rsidRPr="0025415B">
        <w:t>Согласно мнениям авторитетных специалистов в области уголовного права, модернизация подходов к расследованию преступлений, совершенных в составе группы, требует внедрения современных информационных технологий и методов анализа поведения соучастников. Это включает в себя использование специализированных программ для анализа больших объемов данных и оценки взаимосвязей между участниками преступления. Применение данных методов позволит значительно упростить процесс расследования и повысить его эффективность.</w:t>
      </w:r>
    </w:p>
    <w:p w14:paraId="1F557A68" w14:textId="2D45B183" w:rsidR="0025415B" w:rsidRDefault="0025415B" w:rsidP="0025415B">
      <w:r w:rsidRPr="0025415B">
        <w:t>Таким образом, необходимо провести детальный анализ существующей практики и выявить узкие места, которые затрудняют квалификацию действий соучастников преступлений. Важно установить четкие и объективные критерии для определения степени участия каждого соучастника, что, в свою очередь, позволит применять уголовное законодательство в строгом соответствии с принципами справедливости и неотвратимости наказания. Устранение неопределенности и субъективности в вопросах квалификации действий соучастников преступлений будет способствовать увеличению эффективности правоохранительных органов и повышению доверия со стороны общества к уголовной юстиции в целом.</w:t>
      </w:r>
    </w:p>
    <w:p w14:paraId="65B7BE3D" w14:textId="77777777" w:rsidR="0025415B" w:rsidRPr="0025415B" w:rsidRDefault="0025415B" w:rsidP="0025415B"/>
    <w:p w14:paraId="4CCA12E4" w14:textId="76AD45E2" w:rsidR="00E46F85" w:rsidRPr="00E46F85" w:rsidRDefault="00E46F85" w:rsidP="00E46F85">
      <w:pPr>
        <w:rPr>
          <w:i/>
          <w:iCs/>
        </w:rPr>
      </w:pPr>
      <w:r w:rsidRPr="00E46F85">
        <w:rPr>
          <w:i/>
          <w:iCs/>
        </w:rPr>
        <w:t>Список литературы:</w:t>
      </w:r>
    </w:p>
    <w:p w14:paraId="705EE842" w14:textId="1D8E2DB8" w:rsidR="00E46F85" w:rsidRPr="00E46F85" w:rsidRDefault="00E46F85" w:rsidP="00E46F85">
      <w:r w:rsidRPr="00E46F85">
        <w:t>1. "Уголовный кодекс Российской Федерации" от 13.06.1996 N 63-ФЗ (ред. от 13.12.2024) // "Российская газета", N 113, 18.06.1996, N 114, 19.06.1996, N 115, 20.06.1996, N 118, 25.06.1996.</w:t>
      </w:r>
    </w:p>
    <w:p w14:paraId="6FFBB29E" w14:textId="0C776C78" w:rsidR="00E46F85" w:rsidRPr="00E46F85" w:rsidRDefault="00E46F85" w:rsidP="00E46F85">
      <w:r w:rsidRPr="00E46F85">
        <w:t>2. Приговор № 1-3-28/2019 от 14 ноября 2019 г. по делу № 1-3-28/2019 // - URL : https://sudact.ru/regular/doc/wH5ePcicf4VC/?utm_source=chatgpt.com  (дата обращения 21.12.2024)</w:t>
      </w:r>
    </w:p>
    <w:p w14:paraId="5D5A5318" w14:textId="4B3C5D79" w:rsidR="00E46F85" w:rsidRPr="00E46F85" w:rsidRDefault="00E46F85" w:rsidP="00E46F85">
      <w:r w:rsidRPr="00E46F85">
        <w:t>3. Приговор № 1-195/2019 от 6 сентября 2019 г. по делу № 1-195/2019 // - URL : https://sudact.ru/regular/doc/nc9Pz4A8JR1X/?utm_source=chatgpt.com (дата обращения 21.12.2024)</w:t>
      </w:r>
    </w:p>
    <w:p w14:paraId="3307FEAC" w14:textId="69AF0CB5" w:rsidR="00E46F85" w:rsidRPr="00E46F85" w:rsidRDefault="00E46F85" w:rsidP="00E46F85">
      <w:r w:rsidRPr="00E46F85">
        <w:lastRenderedPageBreak/>
        <w:t>4. Бессонов А.А. Проблемные вопросы установления признаков организованной группы по преступлениям, совершенным с использованием информационно-телекоммуникационных технологий // Журнал российского права. 2024. N 1. С. 108 - 119.</w:t>
      </w:r>
    </w:p>
    <w:p w14:paraId="473BDE97" w14:textId="4D2BB31E" w:rsidR="00E46F85" w:rsidRPr="00BE454D" w:rsidRDefault="00E46F85" w:rsidP="00E46F85">
      <w:pPr>
        <w:rPr>
          <w:lang w:val="en-US"/>
        </w:rPr>
      </w:pPr>
      <w:r w:rsidRPr="00E46F85">
        <w:t xml:space="preserve">5. </w:t>
      </w:r>
      <w:proofErr w:type="spellStart"/>
      <w:r w:rsidRPr="00E46F85">
        <w:t>Яцеленко</w:t>
      </w:r>
      <w:proofErr w:type="spellEnd"/>
      <w:r w:rsidRPr="00E46F85">
        <w:t xml:space="preserve"> Б.В. Институт соучастия в преступлении: некоторые вопросы доктринальной и судебной интерпретации // Российский следователь. </w:t>
      </w:r>
      <w:r w:rsidRPr="00BE454D">
        <w:rPr>
          <w:lang w:val="en-US"/>
        </w:rPr>
        <w:t xml:space="preserve">2024. N 1. </w:t>
      </w:r>
      <w:r w:rsidRPr="00E46F85">
        <w:t>С</w:t>
      </w:r>
      <w:r w:rsidRPr="00BE454D">
        <w:rPr>
          <w:lang w:val="en-US"/>
        </w:rPr>
        <w:t>. 35 - 38.</w:t>
      </w:r>
    </w:p>
    <w:p w14:paraId="730ADE2C" w14:textId="77777777" w:rsidR="00E46F85" w:rsidRPr="00BE454D" w:rsidRDefault="00E46F85" w:rsidP="00E46F85">
      <w:pPr>
        <w:rPr>
          <w:lang w:val="en-US"/>
        </w:rPr>
      </w:pPr>
    </w:p>
    <w:p w14:paraId="728C5D4B" w14:textId="77777777" w:rsidR="00E46F85" w:rsidRPr="00E46F85" w:rsidRDefault="00E46F85" w:rsidP="00E46F85">
      <w:pPr>
        <w:rPr>
          <w:b/>
          <w:bCs/>
          <w:lang w:val="en-US"/>
        </w:rPr>
      </w:pPr>
      <w:r w:rsidRPr="00E46F85">
        <w:rPr>
          <w:b/>
          <w:bCs/>
          <w:lang w:val="en-US"/>
        </w:rPr>
        <w:t>SIMPLE GROUP OF PERSONS AS A TYPE OF COMPLICITY AND QUALIFICATION OF GROUP OFFENCES</w:t>
      </w:r>
    </w:p>
    <w:p w14:paraId="0DE3F9B7" w14:textId="77777777" w:rsidR="00E46F85" w:rsidRPr="00E46F85" w:rsidRDefault="00E46F85" w:rsidP="00E46F85">
      <w:pPr>
        <w:rPr>
          <w:lang w:val="en-US"/>
        </w:rPr>
      </w:pPr>
    </w:p>
    <w:p w14:paraId="7DEF9182" w14:textId="77777777" w:rsidR="00E46F85" w:rsidRPr="00E46F85" w:rsidRDefault="00E46F85" w:rsidP="00E46F85">
      <w:pPr>
        <w:rPr>
          <w:lang w:val="en-US"/>
        </w:rPr>
      </w:pPr>
      <w:r w:rsidRPr="00E46F85">
        <w:rPr>
          <w:lang w:val="en-US"/>
        </w:rPr>
        <w:t xml:space="preserve">Anastasia Viktorovna </w:t>
      </w:r>
      <w:proofErr w:type="spellStart"/>
      <w:r w:rsidRPr="00E46F85">
        <w:rPr>
          <w:lang w:val="en-US"/>
        </w:rPr>
        <w:t>Savelyeva</w:t>
      </w:r>
      <w:proofErr w:type="spellEnd"/>
      <w:r w:rsidRPr="00E46F85">
        <w:rPr>
          <w:lang w:val="en-US"/>
        </w:rPr>
        <w:t>, student</w:t>
      </w:r>
    </w:p>
    <w:p w14:paraId="6AAE129F" w14:textId="77777777" w:rsidR="00E46F85" w:rsidRPr="00E46F85" w:rsidRDefault="00E46F85" w:rsidP="00E46F85">
      <w:pPr>
        <w:rPr>
          <w:lang w:val="en-US"/>
        </w:rPr>
      </w:pPr>
      <w:r w:rsidRPr="00E46F85">
        <w:rPr>
          <w:lang w:val="en-US"/>
        </w:rPr>
        <w:t>(e-mail:)</w:t>
      </w:r>
    </w:p>
    <w:p w14:paraId="330D5B45" w14:textId="77777777" w:rsidR="00E46F85" w:rsidRPr="00E46F85" w:rsidRDefault="00E46F85" w:rsidP="00E46F85">
      <w:pPr>
        <w:rPr>
          <w:lang w:val="en-US"/>
        </w:rPr>
      </w:pPr>
      <w:r w:rsidRPr="00E46F85">
        <w:rPr>
          <w:lang w:val="en-US"/>
        </w:rPr>
        <w:t>Chelyabinsk State University, Chelyabinsk, Russia</w:t>
      </w:r>
    </w:p>
    <w:p w14:paraId="745F6AB3" w14:textId="0B8D3E3B" w:rsidR="00BE454D" w:rsidRDefault="00BE454D" w:rsidP="00E46F85">
      <w:pPr>
        <w:rPr>
          <w:lang w:val="en-US"/>
        </w:rPr>
      </w:pPr>
      <w:r w:rsidRPr="00BE454D">
        <w:rPr>
          <w:lang w:val="en-US"/>
        </w:rPr>
        <w:t xml:space="preserve">Scientific supervisor Sergey </w:t>
      </w:r>
      <w:proofErr w:type="spellStart"/>
      <w:r w:rsidRPr="00BE454D">
        <w:rPr>
          <w:lang w:val="en-US"/>
        </w:rPr>
        <w:t>Alexandrovich</w:t>
      </w:r>
      <w:proofErr w:type="spellEnd"/>
      <w:r w:rsidRPr="00BE454D">
        <w:rPr>
          <w:lang w:val="en-US"/>
        </w:rPr>
        <w:t xml:space="preserve"> </w:t>
      </w:r>
      <w:proofErr w:type="spellStart"/>
      <w:r w:rsidRPr="00BE454D">
        <w:rPr>
          <w:lang w:val="en-US"/>
        </w:rPr>
        <w:t>Drobot</w:t>
      </w:r>
      <w:proofErr w:type="spellEnd"/>
      <w:r w:rsidRPr="00BE454D">
        <w:rPr>
          <w:lang w:val="en-US"/>
        </w:rPr>
        <w:t>, Candidate of Law, Associate Professor</w:t>
      </w:r>
      <w:r w:rsidRPr="00BE454D">
        <w:rPr>
          <w:lang w:val="en-US"/>
        </w:rPr>
        <w:t xml:space="preserve"> </w:t>
      </w:r>
    </w:p>
    <w:p w14:paraId="3614CABF" w14:textId="09E013AC" w:rsidR="00E46F85" w:rsidRPr="00E46F85" w:rsidRDefault="00E46F85" w:rsidP="00E46F85">
      <w:pPr>
        <w:rPr>
          <w:lang w:val="en-US"/>
        </w:rPr>
      </w:pPr>
      <w:r w:rsidRPr="00E46F85">
        <w:rPr>
          <w:lang w:val="en-US"/>
        </w:rPr>
        <w:t>(e-mail: drobots@mail.ru)</w:t>
      </w:r>
    </w:p>
    <w:p w14:paraId="56B2C220" w14:textId="77777777" w:rsidR="00E46F85" w:rsidRPr="00E46F85" w:rsidRDefault="00E46F85" w:rsidP="00E46F85">
      <w:pPr>
        <w:rPr>
          <w:lang w:val="en-US"/>
        </w:rPr>
      </w:pPr>
      <w:r w:rsidRPr="00E46F85">
        <w:rPr>
          <w:lang w:val="en-US"/>
        </w:rPr>
        <w:t>Chelyabinsk State University, Chelyabinsk, Russia</w:t>
      </w:r>
    </w:p>
    <w:p w14:paraId="22CE1D12" w14:textId="77777777" w:rsidR="00E46F85" w:rsidRPr="00E46F85" w:rsidRDefault="00E46F85" w:rsidP="00E46F85">
      <w:pPr>
        <w:rPr>
          <w:lang w:val="en-US"/>
        </w:rPr>
      </w:pPr>
    </w:p>
    <w:p w14:paraId="583DEE0A" w14:textId="55BFC613" w:rsidR="00E46F85" w:rsidRPr="00E46F85" w:rsidRDefault="00E46F85" w:rsidP="00E46F85">
      <w:pPr>
        <w:rPr>
          <w:lang w:val="en-US"/>
        </w:rPr>
      </w:pPr>
      <w:proofErr w:type="spellStart"/>
      <w:r w:rsidRPr="00E46F85">
        <w:rPr>
          <w:lang w:val="en-US"/>
        </w:rPr>
        <w:t>Abstract:The</w:t>
      </w:r>
      <w:proofErr w:type="spellEnd"/>
      <w:r w:rsidRPr="00E46F85">
        <w:rPr>
          <w:lang w:val="en-US"/>
        </w:rPr>
        <w:t xml:space="preserve"> article is devoted to the analysis of a simple group as a form of complicity in crime regulated by the criminal legislation of the Russian Federation. A simple group is </w:t>
      </w:r>
      <w:proofErr w:type="spellStart"/>
      <w:r w:rsidRPr="00E46F85">
        <w:rPr>
          <w:lang w:val="en-US"/>
        </w:rPr>
        <w:t>characterised</w:t>
      </w:r>
      <w:proofErr w:type="spellEnd"/>
      <w:r w:rsidRPr="00E46F85">
        <w:rPr>
          <w:lang w:val="en-US"/>
        </w:rPr>
        <w:t xml:space="preserve"> by joint actions of two or more persons aimed at achieving a common criminal goal, in the absence of prior collusion and role distribution. The key features of this form of complicity, such as joint actions and common intent, as well as the peculiarities of its qualification in criminal law practice are considered. </w:t>
      </w:r>
    </w:p>
    <w:p w14:paraId="5AE1DFCE" w14:textId="77777777" w:rsidR="00E46F85" w:rsidRPr="00E46F85" w:rsidRDefault="00E46F85" w:rsidP="00E46F85">
      <w:pPr>
        <w:rPr>
          <w:lang w:val="en-US"/>
        </w:rPr>
      </w:pPr>
      <w:r w:rsidRPr="00E46F85">
        <w:rPr>
          <w:lang w:val="en-US"/>
        </w:rPr>
        <w:t>Keywords: criminal law, complicity, simple group, group of persons, joint actions, common intent, qualification of offences, judicial practice, evidence, law enforcement.</w:t>
      </w:r>
    </w:p>
    <w:p w14:paraId="0456902A" w14:textId="6BF9DCE7" w:rsidR="007A0A59" w:rsidRPr="00E46F85" w:rsidRDefault="007A0A59">
      <w:pPr>
        <w:rPr>
          <w:lang w:val="en-US"/>
        </w:rPr>
      </w:pPr>
    </w:p>
    <w:p w14:paraId="6B9C8DA4" w14:textId="77777777" w:rsidR="00E46F85" w:rsidRPr="00E46F85" w:rsidRDefault="00E46F85">
      <w:pPr>
        <w:rPr>
          <w:lang w:val="en-US"/>
        </w:rPr>
      </w:pPr>
    </w:p>
    <w:sectPr w:rsidR="00E46F85" w:rsidRPr="00E46F85" w:rsidSect="00E46F85">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F85"/>
    <w:rsid w:val="0025415B"/>
    <w:rsid w:val="007A0A59"/>
    <w:rsid w:val="00BE454D"/>
    <w:rsid w:val="00E46F85"/>
    <w:rsid w:val="00EF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BEA38"/>
  <w15:chartTrackingRefBased/>
  <w15:docId w15:val="{E7244304-E2AA-4F90-A672-9CBC6477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F85"/>
    <w:pPr>
      <w:spacing w:after="0" w:line="240" w:lineRule="auto"/>
      <w:ind w:firstLine="284"/>
      <w:jc w:val="both"/>
    </w:pPr>
    <w:rPr>
      <w:rFonts w:ascii="Times New Roman" w:hAnsi="Times New Roman"/>
      <w:sz w:val="28"/>
    </w:rPr>
  </w:style>
  <w:style w:type="paragraph" w:styleId="1">
    <w:name w:val="heading 1"/>
    <w:basedOn w:val="a"/>
    <w:next w:val="a"/>
    <w:link w:val="10"/>
    <w:uiPriority w:val="9"/>
    <w:qFormat/>
    <w:rsid w:val="00EF4D4F"/>
    <w:pPr>
      <w:keepNext/>
      <w:keepLines/>
      <w:jc w:val="center"/>
      <w:outlineLvl w:val="0"/>
    </w:pPr>
    <w:rPr>
      <w:rFonts w:eastAsiaTheme="majorEastAsia" w:cstheme="majorBidi"/>
      <w:b/>
      <w:szCs w:val="32"/>
    </w:rPr>
  </w:style>
  <w:style w:type="paragraph" w:styleId="2">
    <w:name w:val="heading 2"/>
    <w:basedOn w:val="a"/>
    <w:next w:val="a"/>
    <w:link w:val="20"/>
    <w:uiPriority w:val="9"/>
    <w:unhideWhenUsed/>
    <w:qFormat/>
    <w:rsid w:val="00EF4D4F"/>
    <w:pPr>
      <w:keepNext/>
      <w:keepLines/>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4D4F"/>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EF4D4F"/>
    <w:rPr>
      <w:rFonts w:ascii="Times New Roman" w:eastAsiaTheme="majorEastAsia" w:hAnsi="Times New Roman" w:cstheme="majorBidi"/>
      <w:b/>
      <w:sz w:val="28"/>
      <w:szCs w:val="26"/>
    </w:rPr>
  </w:style>
  <w:style w:type="paragraph" w:styleId="a3">
    <w:name w:val="Normal (Web)"/>
    <w:basedOn w:val="a"/>
    <w:uiPriority w:val="99"/>
    <w:semiHidden/>
    <w:unhideWhenUsed/>
    <w:rsid w:val="00E46F85"/>
    <w:pPr>
      <w:spacing w:before="100" w:beforeAutospacing="1" w:after="100" w:afterAutospacing="1"/>
      <w:ind w:firstLine="0"/>
      <w:jc w:val="left"/>
    </w:pPr>
    <w:rPr>
      <w:rFonts w:eastAsia="Times New Roman" w:cs="Times New Roman"/>
      <w:sz w:val="24"/>
      <w:szCs w:val="24"/>
      <w:lang w:eastAsia="ru-RU"/>
    </w:rPr>
  </w:style>
  <w:style w:type="character" w:customStyle="1" w:styleId="truncate">
    <w:name w:val="truncate"/>
    <w:basedOn w:val="a0"/>
    <w:rsid w:val="00E46F85"/>
  </w:style>
  <w:style w:type="character" w:styleId="a4">
    <w:name w:val="Strong"/>
    <w:basedOn w:val="a0"/>
    <w:uiPriority w:val="22"/>
    <w:qFormat/>
    <w:rsid w:val="00E46F85"/>
    <w:rPr>
      <w:b/>
      <w:bCs/>
    </w:rPr>
  </w:style>
  <w:style w:type="character" w:styleId="a5">
    <w:name w:val="Hyperlink"/>
    <w:basedOn w:val="a0"/>
    <w:uiPriority w:val="99"/>
    <w:unhideWhenUsed/>
    <w:rsid w:val="00E46F85"/>
    <w:rPr>
      <w:color w:val="0563C1" w:themeColor="hyperlink"/>
      <w:u w:val="single"/>
    </w:rPr>
  </w:style>
  <w:style w:type="character" w:styleId="a6">
    <w:name w:val="Unresolved Mention"/>
    <w:basedOn w:val="a0"/>
    <w:uiPriority w:val="99"/>
    <w:semiHidden/>
    <w:unhideWhenUsed/>
    <w:rsid w:val="00E46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31674">
      <w:bodyDiv w:val="1"/>
      <w:marLeft w:val="0"/>
      <w:marRight w:val="0"/>
      <w:marTop w:val="0"/>
      <w:marBottom w:val="0"/>
      <w:divBdr>
        <w:top w:val="none" w:sz="0" w:space="0" w:color="auto"/>
        <w:left w:val="none" w:sz="0" w:space="0" w:color="auto"/>
        <w:bottom w:val="none" w:sz="0" w:space="0" w:color="auto"/>
        <w:right w:val="none" w:sz="0" w:space="0" w:color="auto"/>
      </w:divBdr>
      <w:divsChild>
        <w:div w:id="737480949">
          <w:marLeft w:val="0"/>
          <w:marRight w:val="0"/>
          <w:marTop w:val="0"/>
          <w:marBottom w:val="0"/>
          <w:divBdr>
            <w:top w:val="none" w:sz="0" w:space="0" w:color="auto"/>
            <w:left w:val="none" w:sz="0" w:space="0" w:color="auto"/>
            <w:bottom w:val="none" w:sz="0" w:space="0" w:color="auto"/>
            <w:right w:val="none" w:sz="0" w:space="0" w:color="auto"/>
          </w:divBdr>
        </w:div>
        <w:div w:id="363095644">
          <w:marLeft w:val="0"/>
          <w:marRight w:val="0"/>
          <w:marTop w:val="0"/>
          <w:marBottom w:val="0"/>
          <w:divBdr>
            <w:top w:val="none" w:sz="0" w:space="0" w:color="auto"/>
            <w:left w:val="none" w:sz="0" w:space="0" w:color="auto"/>
            <w:bottom w:val="none" w:sz="0" w:space="0" w:color="auto"/>
            <w:right w:val="none" w:sz="0" w:space="0" w:color="auto"/>
          </w:divBdr>
        </w:div>
      </w:divsChild>
    </w:div>
    <w:div w:id="138351064">
      <w:bodyDiv w:val="1"/>
      <w:marLeft w:val="0"/>
      <w:marRight w:val="0"/>
      <w:marTop w:val="0"/>
      <w:marBottom w:val="0"/>
      <w:divBdr>
        <w:top w:val="none" w:sz="0" w:space="0" w:color="auto"/>
        <w:left w:val="none" w:sz="0" w:space="0" w:color="auto"/>
        <w:bottom w:val="none" w:sz="0" w:space="0" w:color="auto"/>
        <w:right w:val="none" w:sz="0" w:space="0" w:color="auto"/>
      </w:divBdr>
    </w:div>
    <w:div w:id="840855144">
      <w:bodyDiv w:val="1"/>
      <w:marLeft w:val="0"/>
      <w:marRight w:val="0"/>
      <w:marTop w:val="0"/>
      <w:marBottom w:val="0"/>
      <w:divBdr>
        <w:top w:val="none" w:sz="0" w:space="0" w:color="auto"/>
        <w:left w:val="none" w:sz="0" w:space="0" w:color="auto"/>
        <w:bottom w:val="none" w:sz="0" w:space="0" w:color="auto"/>
        <w:right w:val="none" w:sz="0" w:space="0" w:color="auto"/>
      </w:divBdr>
    </w:div>
    <w:div w:id="892152803">
      <w:bodyDiv w:val="1"/>
      <w:marLeft w:val="0"/>
      <w:marRight w:val="0"/>
      <w:marTop w:val="0"/>
      <w:marBottom w:val="0"/>
      <w:divBdr>
        <w:top w:val="none" w:sz="0" w:space="0" w:color="auto"/>
        <w:left w:val="none" w:sz="0" w:space="0" w:color="auto"/>
        <w:bottom w:val="none" w:sz="0" w:space="0" w:color="auto"/>
        <w:right w:val="none" w:sz="0" w:space="0" w:color="auto"/>
      </w:divBdr>
    </w:div>
    <w:div w:id="910655104">
      <w:bodyDiv w:val="1"/>
      <w:marLeft w:val="0"/>
      <w:marRight w:val="0"/>
      <w:marTop w:val="0"/>
      <w:marBottom w:val="0"/>
      <w:divBdr>
        <w:top w:val="none" w:sz="0" w:space="0" w:color="auto"/>
        <w:left w:val="none" w:sz="0" w:space="0" w:color="auto"/>
        <w:bottom w:val="none" w:sz="0" w:space="0" w:color="auto"/>
        <w:right w:val="none" w:sz="0" w:space="0" w:color="auto"/>
      </w:divBdr>
    </w:div>
    <w:div w:id="170894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8CC30-3D45-4308-A6D8-DC6ABCEFA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1338</Words>
  <Characters>7633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Пешехонова</dc:creator>
  <cp:keywords/>
  <dc:description/>
  <cp:lastModifiedBy>Анастасия Пешехонова</cp:lastModifiedBy>
  <cp:revision>1</cp:revision>
  <dcterms:created xsi:type="dcterms:W3CDTF">2024-12-24T14:19:00Z</dcterms:created>
  <dcterms:modified xsi:type="dcterms:W3CDTF">2024-12-24T15:42:00Z</dcterms:modified>
</cp:coreProperties>
</file>