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0D" w:rsidRPr="0008780D" w:rsidRDefault="0008780D" w:rsidP="0008780D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br/>
        <w:t>Обучение – это динамичный процесс, который постоянно совершенствуется с учетом новых технологий, научных открытий и социальных изменений. В последние десятилетия традиционные подходы к обучению претерпели значительные изменения благодаря развитию цифровых технологий, появлению новых методов преподавания и роста интереса к индивидуализации образовательного процесса.</w:t>
      </w:r>
    </w:p>
    <w:p w:rsidR="0008780D" w:rsidRPr="0008780D" w:rsidRDefault="0008780D" w:rsidP="0008780D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lang w:eastAsia="ru-RU"/>
        </w:rPr>
      </w:pPr>
      <w:r w:rsidRPr="0008780D"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Современные формы и методы обучения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Электронное обучение (e-</w:t>
      </w: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learning</w:t>
      </w:r>
      <w:proofErr w:type="spellEnd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)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Электронное обучение стало одной из самых популярных форм образования за последнее десятилетие. Оно включает использование онлайн-платформ для предоставления учебных материалов, проведения лекций, семинаров и тестов. Преимущества e-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learning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заключаются в гибкости времени и места учебы, возможности повторного просмотра материала и автоматизации многих процессов.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Мобильное обучение (m-</w:t>
      </w: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learning</w:t>
      </w:r>
      <w:proofErr w:type="spellEnd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)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Мобильное обучение позволяет учащимся получать доступ к образовательным ресурсам через мобильные устройства, такие как смартфоны и планшеты. Это особенно актуально в условиях современного ритма жизни, когда люди часто находятся в движении и нуждаются в доступе к информации "на ходу".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Геймификация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Геймификация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предполагает внедрение элементов игры в учебный процесс. Она помогает повысить мотивацию учащихся, сделать обучение более увлекательным и интерактивным. Например, можно использовать баллы, уровни, достижения и соревнования между учениками.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Флип-чарт</w:t>
      </w:r>
      <w:proofErr w:type="spellEnd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 xml:space="preserve"> класс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Флип-чарт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класс подразумевает изменение традиционной роли учителя и ученика. Учитель предоставляет материалы для самостоятельного изучения дома, а время занятий в классе посвящено обсуждению, решению задач и практическим занятиям. Этот метод способствует активному вовлечению учеников в процесс обучения.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Проектное обучение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Проектное обучение фокусируется на решении реальных проблем через выполнение проектов. Учащиеся работают над проектами индивидуально или в группах, что развивает у них навыки критического мышления, командной работы и креативности.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Блочное обучение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Блочное обучение предполагает деление учебного курса на блоки, каждый из которых посвящен определенной теме. После завершения блока проводится тестирование знаний, чтобы убедиться, что материал усвоен. Это помогает структурировать информацию и облегчает ее запоминание.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Микрообучение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Микрообучение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предлагает небольшие порции информации, которые легко усваиваются и могут быть изучены в короткие промежутки времени. Это полезно для тех, кто предпочитает учиться небольшими шагами или имеет ограниченное количество свободного времени.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lastRenderedPageBreak/>
        <w:t>Виртуальная реальность (VR) и дополненная реальность (AR)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 Использование VR и AR технологий открывает новые горизонты в обучении. Они позволяют создавать 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иммерсивные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среды, где учащиеся могут взаимодействовать с виртуальными объектами и моделями, что делает обучение более наглядным и интересным.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Социальное обучение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Социальное обучение основывается на взаимодействии между людьми. Оно может включать обсуждение тем в социальных сетях, участие в форумах, обмен опытом и знаниями. Это помогает развивать коммуникативные навыки и учит работать в команде.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Адаптивное обучение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Адаптивные системы подстраивают учебные программы под индивидуальные потребности каждого ученика. Они анализируют уровень подготовки, интересы и предпочтения пользователя, предлагая персонализированные задания и материалы.</w:t>
      </w:r>
    </w:p>
    <w:p w:rsidR="0008780D" w:rsidRPr="0008780D" w:rsidRDefault="0008780D" w:rsidP="0008780D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lang w:eastAsia="ru-RU"/>
        </w:rPr>
      </w:pPr>
      <w:r w:rsidRPr="0008780D"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Проблемы современных форм и методов обучения</w:t>
      </w:r>
    </w:p>
    <w:p w:rsidR="0008780D" w:rsidRPr="0008780D" w:rsidRDefault="0008780D" w:rsidP="0008780D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Несмотря на множество преимуществ, современные формы и методы обучения сталкиваются с рядом проблем: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Технологические барьеры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Не</w:t>
      </w:r>
      <w:proofErr w:type="gram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все ученики имеют равный доступ к современным технологиям. Недостаток оборудования, интернета или необходимых программных средств может стать препятствием для участия в электронном или мобильном обучении.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Отсутствие мотивации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Некоторые студенты могут испытывать трудности с самоорганизацией при дистанционном обучении. Отсутствие прямого контакта с преподавателем и коллегами может снизить мотивацию к учебе.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Качество контента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Несмотря</w:t>
      </w:r>
      <w:proofErr w:type="gram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на обилие образовательных ресурсов, не всегда удается найти качественные и проверенные материалы. Необходимо уделять внимание отбору источников информации и разработке эффективных учебных курсов.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Оценка результатов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Оценка знаний в электронных формах обучения иногда вызывает сложности. Традиционные тесты могут не отражать реальные знания и умения студентов, поэтому важно разрабатывать новые методы оценки, ориентированные на практические навыки.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Этические вопросы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Вопросы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конфиденциальности данных, авторского права и этики использования технологий также требуют внимания. Важно обеспечить защиту персональных данных учащихся и соблюдать законы о защите интеллектуальной собственности.</w:t>
      </w:r>
    </w:p>
    <w:p w:rsidR="0008780D" w:rsidRPr="0008780D" w:rsidRDefault="0008780D" w:rsidP="0008780D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lang w:eastAsia="ru-RU"/>
        </w:rPr>
      </w:pPr>
      <w:r w:rsidRPr="0008780D"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Перспективы развития</w:t>
      </w:r>
    </w:p>
    <w:p w:rsidR="0008780D" w:rsidRPr="0008780D" w:rsidRDefault="0008780D" w:rsidP="0008780D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Современные технологии открывают огромные возможности для дальнейшего улучшения процесса обучения. Вот несколько перспективных направлений: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lastRenderedPageBreak/>
        <w:t>Искусственный интеллект (ИИ)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Искусственный интеллект уже используется для создания адаптивных систем обучения, анализа успеваемости и разработки индивидуальных учебных планов. В будущем ИИ сможет еще больше автоматизировать процессы обучения и сделать их более эффективными.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Развитие VR/AR технологий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Виртуальная и дополненная реальности будут играть все большую роль в образовании. Они позволят создавать реалистичные симуляции, моделирующие сложные процессы и явления, что сделает обучение более доступным и понятным.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Глобализация образования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 С развитием интернет-технологий границы между странами </w:t>
      </w:r>
      <w:proofErr w:type="gram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становятся</w:t>
      </w:r>
      <w:proofErr w:type="gram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менее значимыми. Студенты смогут выбирать курсы и преподавателей по всему миру, что расширит их образовательные возможности.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Персонализация обучения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Индивидуальный подход к каждому студенту станет нормой. Учебные программы будут создаваться с учетом личных интересов, уровня подготовки и целей учащихся.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Интеграция различных форм обучения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Будущее образование будет сочетать различные формы и методы обучения, включая электронные, очные и гибридные подходы. Это позволит максимально эффективно использовать преимущества каждой из них.</w:t>
      </w:r>
    </w:p>
    <w:p w:rsidR="0008780D" w:rsidRPr="0008780D" w:rsidRDefault="0008780D" w:rsidP="0008780D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Таким образом, современное состояние обучения характеризуется активным внедрением новых технологий и методов, направленных на повышение эффективности и доступности образования. Однако остаются нерешенными некоторые проблемы, связанные с технологическими барьерами, качеством контента и оценкой результатов. Тем не менее, перспективы развития выглядят весьма оптимистично, и дальнейшие инновации обещают сделать обучение еще более удобным, доступным и эффективным.</w:t>
      </w:r>
    </w:p>
    <w:p w:rsidR="003B587C" w:rsidRDefault="0008780D">
      <w:bookmarkStart w:id="0" w:name="_GoBack"/>
      <w:bookmarkEnd w:id="0"/>
    </w:p>
    <w:sectPr w:rsidR="003B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03B"/>
    <w:multiLevelType w:val="multilevel"/>
    <w:tmpl w:val="2E2C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A7226"/>
    <w:multiLevelType w:val="multilevel"/>
    <w:tmpl w:val="CAD8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C0C1E"/>
    <w:multiLevelType w:val="multilevel"/>
    <w:tmpl w:val="2E70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D7"/>
    <w:rsid w:val="0008780D"/>
    <w:rsid w:val="008118D7"/>
    <w:rsid w:val="00BF1A63"/>
    <w:rsid w:val="00D2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58437-5467-4C21-BC0F-005AEB53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c-jmpzur">
    <w:name w:val="sc-jmpzur"/>
    <w:basedOn w:val="a"/>
    <w:rsid w:val="0008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08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5421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2024-12-25T17:41:00Z</dcterms:created>
  <dcterms:modified xsi:type="dcterms:W3CDTF">2024-12-25T17:41:00Z</dcterms:modified>
</cp:coreProperties>
</file>