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40"/>
          <w:szCs w:val="40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Символизм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цвета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в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искусстве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средневековой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Европы</w:t>
      </w:r>
      <w:r>
        <w:rPr>
          <w:rFonts w:ascii="Symbol" w:cs="TH SarabunPSK" w:eastAsia="华文行楷" w:hAnsi="Symbol"/>
          <w:b/>
          <w:bCs/>
          <w:color w:val="808080"/>
          <w:sz w:val="40"/>
          <w:szCs w:val="40"/>
          <w:lang w:val="en-US"/>
        </w:rPr>
        <w:t>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анализ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цветовых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решений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в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готических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соборах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40"/>
          <w:szCs w:val="40"/>
          <w:lang w:val="en-US"/>
        </w:rPr>
        <w:t>Франции</w:t>
      </w:r>
    </w:p>
    <w:p>
      <w:pPr>
        <w:pStyle w:val="style0"/>
        <w:jc w:val="center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AndroidClock" w:cs="TH SarabunPSK" w:eastAsia="华文行楷" w:hAnsi="AndroidClock"/>
          <w:b w:val="false"/>
          <w:bCs w:val="false"/>
          <w:color w:val="c0c0c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c0c0c0"/>
          <w:sz w:val="36"/>
          <w:szCs w:val="36"/>
          <w:lang w:val="en-US"/>
        </w:rPr>
        <w:t>Введение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являясь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неотъемлемой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частью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художественного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образа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всегда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играл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важную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роль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искусстве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Европе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наряду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другими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символическими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элементами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использовался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средство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выражения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религиозных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социальных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культурных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идей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приобретает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особую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важность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становясь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неотъемлемой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частью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архитектурного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декоративного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решения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работа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посвящена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анализу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цветовых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решений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целью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раскрыть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значение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роль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контексте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культуры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Методы</w:t>
      </w:r>
      <w:r>
        <w:rPr>
          <w:rFonts w:ascii="AndroidClock" w:cs="TH SarabunPSK" w:eastAsia="华文行楷" w:hAnsi="AndroidClock"/>
          <w:b/>
          <w:bCs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исследования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работе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использованы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следующие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методы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исследования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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highlight w:val="lightGray"/>
          <w:lang w:val="en-US"/>
        </w:rPr>
        <w:t>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Анализ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исторических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Изучение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текстов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трактатов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документов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отражающих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средневековом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искусстве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highlight w:val="lightGray"/>
          <w:lang w:val="en-US"/>
        </w:rPr>
        <w:t>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Изучение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литературных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источников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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Анализ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литературных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произведений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средневековья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которых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упоминаются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описываются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значение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highlight w:val="lightGray"/>
          <w:lang w:val="en-US"/>
        </w:rPr>
        <w:t>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Визуальный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решений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включая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анализ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используемых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красок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цветовых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композиций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значений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отдельных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цветов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highlight w:val="lightGray"/>
          <w:lang w:val="en-US"/>
        </w:rPr>
        <w:t>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Сравновых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решений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разных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выявление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общего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отличительного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значениях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Результаты</w:t>
      </w:r>
      <w:r>
        <w:rPr>
          <w:rFonts w:ascii="AndroidClock" w:cs="TH SarabunPSK" w:eastAsia="华文行楷" w:hAnsi="AndroidClock"/>
          <w:b/>
          <w:bCs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исследования</w:t>
      </w: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Основные</w:t>
      </w:r>
      <w:r>
        <w:rPr>
          <w:rFonts w:ascii="AndroidClock" w:cs="TH SarabunPSK" w:eastAsia="华文行楷" w:hAnsi="AndroidClock"/>
          <w:b/>
          <w:bCs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цвета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преобладали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следующие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синий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красный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желтый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зеленый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Каждый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из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имел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свое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значение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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cs="TH SarabunPSK" w:eastAsia="华文行楷" w:hAnsi="AndroidClock"/>
          <w:b/>
          <w:bCs/>
          <w:color w:val="808080"/>
          <w:sz w:val="32"/>
          <w:szCs w:val="32"/>
          <w:lang w:val="en-US"/>
        </w:rPr>
        <w:t>–</w:t>
      </w:r>
      <w:r>
        <w:rPr>
          <w:rFonts w:ascii="AndroidClock" w:cs="TH SarabunPSK" w:eastAsia="华文行楷" w:hAnsi="AndroidClock"/>
          <w:b/>
          <w:bCs/>
          <w:color w:val="808080"/>
          <w:sz w:val="32"/>
          <w:szCs w:val="32"/>
          <w:lang w:val="en-US"/>
        </w:rPr>
        <w:t xml:space="preserve"> </w:t>
      </w:r>
      <w:r>
        <w:rPr>
          <w:rFonts w:ascii="AndroidClock" w:cs="TH SarabunPSK" w:eastAsia="华文行楷" w:hAnsi="AndroidClock"/>
          <w:b/>
          <w:bCs/>
          <w:color w:val="808080"/>
          <w:sz w:val="40"/>
          <w:szCs w:val="40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ffffff"/>
          <w:sz w:val="36"/>
          <w:szCs w:val="36"/>
          <w:highlight w:val="blue"/>
          <w:lang w:val="en-US"/>
        </w:rPr>
        <w:t>Синий</w:t>
      </w:r>
      <w:r>
        <w:rPr>
          <w:rFonts w:ascii="Symbol" w:cs="华文行楷" w:eastAsia="华文行楷" w:hAnsi="Symbol"/>
          <w:b w:val="false"/>
          <w:bCs w:val="false"/>
          <w:color w:val="ffffff"/>
          <w:sz w:val="36"/>
          <w:szCs w:val="36"/>
          <w:highlight w:val="blue"/>
          <w:lang w:val="en-US"/>
        </w:rPr>
        <w:t>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 xml:space="preserve">  Символизировал небо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божественную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благодать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чистоту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верность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Это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подтверждается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использованием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синего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стекла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витражах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таких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соборов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Нотр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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Дам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Пари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где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синий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визуально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отделяет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небесное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земного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 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</w:t>
      </w:r>
      <w:r>
        <w:rPr>
          <w:rFonts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ffffff"/>
          <w:sz w:val="36"/>
          <w:szCs w:val="36"/>
          <w:highlight w:val="red"/>
          <w:lang w:val="en-US"/>
        </w:rPr>
        <w:t>Красный</w:t>
      </w:r>
      <w:r>
        <w:rPr>
          <w:rFonts w:ascii="Symbol" w:cs="TH SarabunPSK" w:eastAsia="华文行楷" w:hAnsi="Symbol"/>
          <w:b w:val="false"/>
          <w:bCs w:val="false"/>
          <w:color w:val="ffffff"/>
          <w:sz w:val="36"/>
          <w:szCs w:val="36"/>
          <w:highlight w:val="red"/>
          <w:lang w:val="en-US"/>
        </w:rPr>
        <w:t>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Символизировал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кровь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Христа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страсть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любовь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жертвенность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Примером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служат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красные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акценты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росписях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витражах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Сен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</w:t>
      </w:r>
      <w:r>
        <w:rPr>
          <w:rFonts w:ascii="Source Sans Pro SemiBold" w:cs="华文行楷" w:eastAsia="华文行楷" w:hAnsi="Source Sans Pro SemiBold"/>
          <w:b w:val="false"/>
          <w:bCs w:val="false"/>
          <w:color w:val="808080"/>
          <w:sz w:val="36"/>
          <w:szCs w:val="36"/>
          <w:lang w:val="en-US"/>
        </w:rPr>
        <w:t>Шапель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которые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подчеркивают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моменты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страсти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жертвы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Спасителя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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ffffff"/>
          <w:sz w:val="36"/>
          <w:szCs w:val="36"/>
          <w:highlight w:val="yellow"/>
          <w:lang w:val="en-US"/>
        </w:rPr>
        <w:t>Желтый</w:t>
      </w:r>
      <w:r>
        <w:rPr>
          <w:rFonts w:ascii="Symbol" w:cs="TH SarabunPSK" w:eastAsia="华文行楷" w:hAnsi="Symbol"/>
          <w:b w:val="false"/>
          <w:bCs w:val="false"/>
          <w:color w:val="ffffff"/>
          <w:sz w:val="36"/>
          <w:szCs w:val="36"/>
          <w:highlight w:val="yellow"/>
          <w:lang w:val="en-US"/>
        </w:rPr>
        <w:t>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Символизировал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свет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истину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мудрость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божественное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сияние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Желтые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элементы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можно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видеть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декоративных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частях.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</w:t>
      </w:r>
      <w:r>
        <w:rPr>
          <w:rFonts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ffffff"/>
          <w:sz w:val="36"/>
          <w:szCs w:val="36"/>
          <w:highlight w:val="darkGreen"/>
          <w:lang w:val="en-US"/>
        </w:rPr>
        <w:t>Зеленый</w:t>
      </w:r>
      <w:r>
        <w:rPr>
          <w:rFonts w:ascii="Symbol" w:cs="TH SarabunPSK" w:eastAsia="华文行楷" w:hAnsi="Symbol"/>
          <w:b w:val="false"/>
          <w:bCs w:val="false"/>
          <w:color w:val="ffffff"/>
          <w:sz w:val="36"/>
          <w:szCs w:val="36"/>
          <w:highlight w:val="darkGreen"/>
          <w:lang w:val="en-US"/>
        </w:rPr>
        <w:t>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Символизировал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жизнь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надеждурождение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Зеленые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тона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часто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встречаются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орнаментах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фресках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таких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Амьене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подчер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жизнь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использовался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только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отдельных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элементах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композициях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сочетались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между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создавая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определенный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художественный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эффект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например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витражах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Бурже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где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яркие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контрастируя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друг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другом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создают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динамичное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выразительное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пространство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Обсуждение</w:t>
      </w: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Результаты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исследования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показывают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что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просто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декоративный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элемент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важный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символический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язык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отражающий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глубокие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религиозные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философ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создавали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атмосферу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духовности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преданности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выражали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религиозные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учения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подчеркивали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важность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веры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Например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использование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пурпурного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одежде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святых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на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витражах</w:t>
      </w:r>
      <w:r>
        <w:rPr>
          <w:rFonts w:ascii="AndroidClock" w:cs="TH SarabunPSK" w:eastAsia="华文行楷" w:hAnsi="TH Sarabun PS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AndroidClock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(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царственности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божественной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власти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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усиливало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восприятие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святости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left"/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</w:pPr>
    </w:p>
    <w:p>
      <w:pPr>
        <w:pStyle w:val="style0"/>
        <w:jc w:val="center"/>
        <w:rPr>
          <w:rFonts w:ascii="AndroidClock" w:cs="TH SarabunPSK" w:eastAsia="华文行楷" w:hAnsi="AndroidClock"/>
          <w:b/>
          <w:bCs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/>
          <w:bCs/>
          <w:color w:val="808080"/>
          <w:sz w:val="36"/>
          <w:szCs w:val="36"/>
          <w:lang w:val="en-US"/>
        </w:rPr>
        <w:t>Заключение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Анализ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цветотических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Франции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позволяет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углубить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понимание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символизма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искусстве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Европы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играл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ключ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создании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художественного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образа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выражении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религиозных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идей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передаче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эмоций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Дальнейшие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исследования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этой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области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могут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предоставить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еще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более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глубокое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понимание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символизма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цвета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контексте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средневековой</w:t>
      </w:r>
      <w:r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华文行楷" w:eastAsia="华文行楷" w:hAnsi="华文行楷"/>
          <w:b w:val="false"/>
          <w:bCs w:val="false"/>
          <w:color w:val="808080"/>
          <w:sz w:val="36"/>
          <w:szCs w:val="36"/>
          <w:lang w:val="en-US"/>
        </w:rPr>
        <w:t>культуры</w:t>
      </w:r>
      <w:r>
        <w:rPr>
          <w:rFonts w:ascii="Symbol" w:cs="TH SarabunPSK" w:eastAsia="华文行楷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AndroidClock" w:cs="TH SarabunPSK" w:eastAsia="华文行楷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jc w:val="center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微软雅黑" w:eastAsia="微软雅黑" w:hAnsi="微软雅黑"/>
          <w:b/>
          <w:bCs/>
          <w:color w:val="808080"/>
          <w:sz w:val="36"/>
          <w:szCs w:val="36"/>
          <w:lang w:val="en-US"/>
        </w:rPr>
        <w:t>Список</w:t>
      </w:r>
      <w:r>
        <w:rPr>
          <w:rFonts w:ascii="AndroidClock" w:cs="TH SarabunPSK" w:eastAsia="微软雅黑" w:hAnsi="AndroidClock"/>
          <w:b/>
          <w:bCs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/>
          <w:bCs/>
          <w:color w:val="808080"/>
          <w:sz w:val="36"/>
          <w:szCs w:val="36"/>
          <w:lang w:val="en-US"/>
        </w:rPr>
        <w:t>литературы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</w:p>
    <w:p>
      <w:pPr>
        <w:pStyle w:val="style0"/>
        <w:jc w:val="center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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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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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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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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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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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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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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</w:t>
      </w:r>
    </w:p>
    <w:p>
      <w:pPr>
        <w:pStyle w:val="style0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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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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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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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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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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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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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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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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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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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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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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</w:t>
      </w:r>
    </w:p>
    <w:p>
      <w:pPr>
        <w:pStyle w:val="style0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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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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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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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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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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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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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</w:p>
    <w:p>
      <w:pPr>
        <w:pStyle w:val="style0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</w:p>
    <w:p>
      <w:pPr>
        <w:pStyle w:val="style0"/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</w:rPr>
      </w:pP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Таким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образом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цвет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готических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соборах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выступает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не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только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элемент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декора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но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как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мощный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носитель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символического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значени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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глубоко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укорененного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в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культуре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и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религии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своего</w:t>
      </w:r>
      <w:r>
        <w:rPr>
          <w:rFonts w:ascii="AndroidClock" w:cs="TH SarabunPSK" w:eastAsia="微软雅黑" w:hAnsi="AndroidClock"/>
          <w:b w:val="false"/>
          <w:bCs w:val="false"/>
          <w:color w:val="808080"/>
          <w:sz w:val="36"/>
          <w:szCs w:val="36"/>
          <w:lang w:val="en-US"/>
        </w:rPr>
        <w:t xml:space="preserve"> </w:t>
      </w:r>
      <w:r>
        <w:rPr>
          <w:rFonts w:ascii="Source Sans Pro SemiBold" w:cs="微软雅黑" w:eastAsia="微软雅黑" w:hAnsi="微软雅黑"/>
          <w:b w:val="false"/>
          <w:bCs w:val="false"/>
          <w:color w:val="808080"/>
          <w:sz w:val="36"/>
          <w:szCs w:val="36"/>
          <w:lang w:val="en-US"/>
        </w:rPr>
        <w:t>времени</w:t>
      </w:r>
      <w:r>
        <w:rPr>
          <w:rFonts w:ascii="Symbol" w:cs="TH SarabunPSK" w:eastAsia="微软雅黑" w:hAnsi="Symbol"/>
          <w:b w:val="false"/>
          <w:bCs w:val="false"/>
          <w:color w:val="808080"/>
          <w:sz w:val="36"/>
          <w:szCs w:val="36"/>
          <w:lang w:val="en-US"/>
        </w:rPr>
        <w:t></w:t>
      </w: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华文行楷"/>
    <w:panose1 w:val="02010800040000010101"/>
    <w:charset w:val="86"/>
    <w:family w:val="auto"/>
    <w:pitch w:val="variable"/>
    <w:sig w:usb0="00000001" w:usb1="080F0000" w:usb2="00000010" w:usb3="00000000" w:csb0="00040000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TH Sarabun PS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ource Sans Pro SemiBol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TH SarabunPS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-1224915</wp:posOffset>
          </wp:positionH>
          <wp:positionV relativeFrom="paragraph">
            <wp:posOffset>-718185</wp:posOffset>
          </wp:positionV>
          <wp:extent cx="7921625" cy="11884660"/>
          <wp:effectExtent l="0" t="0" r="3175" b="2540"/>
          <wp:wrapNone/>
          <wp:docPr id="4097" name="图片 1" descr="C:\Users\影\Desktop\3.jpg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921625" cy="1188466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479</Words>
  <Pages>1</Pages>
  <Characters>3283</Characters>
  <Application>WPS Office</Application>
  <DocSecurity>0</DocSecurity>
  <Paragraphs>65</Paragraphs>
  <ScaleCrop>false</ScaleCrop>
  <LinksUpToDate>false</LinksUpToDate>
  <CharactersWithSpaces>3743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影</dc:creator>
  <lastModifiedBy>M2101K6G</lastModifiedBy>
  <dcterms:modified xsi:type="dcterms:W3CDTF">2024-11-12T20:53:02Z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7fa69e4ed13d49ffb676c3464632b9b1</vt:lpwstr>
  </property>
</Properties>
</file>