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ABB8" w14:textId="7CEFD971" w:rsidR="00D922C0" w:rsidRPr="003211FE" w:rsidRDefault="00D922C0" w:rsidP="005A6110">
      <w:pPr>
        <w:spacing w:line="360" w:lineRule="auto"/>
        <w:jc w:val="right"/>
        <w:rPr>
          <w:bCs/>
          <w:i/>
          <w:iCs/>
          <w:sz w:val="28"/>
          <w:szCs w:val="28"/>
        </w:rPr>
      </w:pPr>
      <w:r w:rsidRPr="003211FE">
        <w:rPr>
          <w:bCs/>
          <w:i/>
          <w:iCs/>
          <w:sz w:val="28"/>
          <w:szCs w:val="28"/>
        </w:rPr>
        <w:t>Третьякова Ю.</w:t>
      </w:r>
      <w:r w:rsidR="003211FE" w:rsidRPr="003211FE">
        <w:rPr>
          <w:bCs/>
          <w:i/>
          <w:iCs/>
          <w:sz w:val="28"/>
          <w:szCs w:val="28"/>
        </w:rPr>
        <w:t>В.</w:t>
      </w:r>
    </w:p>
    <w:p w14:paraId="4503A250" w14:textId="27DE3692" w:rsidR="00D922C0" w:rsidRPr="003211FE" w:rsidRDefault="00D922C0" w:rsidP="005A6110">
      <w:pPr>
        <w:spacing w:line="360" w:lineRule="auto"/>
        <w:jc w:val="right"/>
        <w:rPr>
          <w:bCs/>
          <w:i/>
          <w:iCs/>
          <w:sz w:val="28"/>
          <w:szCs w:val="28"/>
        </w:rPr>
      </w:pPr>
      <w:r w:rsidRPr="003211FE">
        <w:rPr>
          <w:bCs/>
          <w:i/>
          <w:iCs/>
          <w:sz w:val="28"/>
          <w:szCs w:val="28"/>
        </w:rPr>
        <w:t>студентка П</w:t>
      </w:r>
      <w:r w:rsidR="00357ED5">
        <w:rPr>
          <w:bCs/>
          <w:i/>
          <w:iCs/>
          <w:sz w:val="28"/>
          <w:szCs w:val="28"/>
        </w:rPr>
        <w:t>риволжский филиал</w:t>
      </w:r>
      <w:r w:rsidRPr="003211FE">
        <w:rPr>
          <w:bCs/>
          <w:i/>
          <w:iCs/>
          <w:sz w:val="28"/>
          <w:szCs w:val="28"/>
        </w:rPr>
        <w:t xml:space="preserve"> ФГБОУВО </w:t>
      </w:r>
      <w:r w:rsidR="000617E0" w:rsidRPr="003211FE">
        <w:rPr>
          <w:bCs/>
          <w:i/>
          <w:iCs/>
          <w:sz w:val="28"/>
          <w:szCs w:val="28"/>
        </w:rPr>
        <w:t>«</w:t>
      </w:r>
      <w:r w:rsidRPr="003211FE">
        <w:rPr>
          <w:bCs/>
          <w:i/>
          <w:iCs/>
          <w:sz w:val="28"/>
          <w:szCs w:val="28"/>
        </w:rPr>
        <w:t>Р</w:t>
      </w:r>
      <w:r w:rsidR="00357ED5">
        <w:rPr>
          <w:bCs/>
          <w:i/>
          <w:iCs/>
          <w:sz w:val="28"/>
          <w:szCs w:val="28"/>
        </w:rPr>
        <w:t>оссийский государственный университет правосудия</w:t>
      </w:r>
      <w:r w:rsidR="000617E0" w:rsidRPr="003211FE">
        <w:rPr>
          <w:bCs/>
          <w:i/>
          <w:iCs/>
          <w:sz w:val="28"/>
          <w:szCs w:val="28"/>
        </w:rPr>
        <w:t>»</w:t>
      </w:r>
    </w:p>
    <w:p w14:paraId="3776A344" w14:textId="77777777" w:rsidR="00D922C0" w:rsidRDefault="00D922C0" w:rsidP="005A6110">
      <w:pPr>
        <w:spacing w:line="360" w:lineRule="auto"/>
        <w:jc w:val="center"/>
        <w:rPr>
          <w:bCs/>
          <w:sz w:val="28"/>
          <w:szCs w:val="28"/>
        </w:rPr>
      </w:pPr>
    </w:p>
    <w:p w14:paraId="5D623720" w14:textId="77777777" w:rsidR="00D922C0" w:rsidRPr="00D922C0" w:rsidRDefault="001D5A23" w:rsidP="005A611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Судебная оценка</w:t>
      </w:r>
      <w:r w:rsidR="00811CBD">
        <w:rPr>
          <w:bCs/>
          <w:sz w:val="28"/>
          <w:szCs w:val="28"/>
        </w:rPr>
        <w:t xml:space="preserve"> нарушений, допущенных при составлении</w:t>
      </w:r>
      <w:r w:rsidR="00D922C0" w:rsidRPr="00D922C0">
        <w:rPr>
          <w:bCs/>
          <w:sz w:val="28"/>
          <w:szCs w:val="28"/>
        </w:rPr>
        <w:t xml:space="preserve"> обвинительного заключения</w:t>
      </w:r>
      <w:r w:rsidR="00D922C0">
        <w:rPr>
          <w:bCs/>
          <w:sz w:val="28"/>
          <w:szCs w:val="28"/>
        </w:rPr>
        <w:t xml:space="preserve"> (акта</w:t>
      </w:r>
      <w:r w:rsidR="00857ED3">
        <w:rPr>
          <w:bCs/>
          <w:sz w:val="28"/>
          <w:szCs w:val="28"/>
        </w:rPr>
        <w:t>, постановления</w:t>
      </w:r>
      <w:r w:rsidR="00634A0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</w:t>
      </w:r>
      <w:r w:rsidR="00D922C0">
        <w:rPr>
          <w:bCs/>
          <w:sz w:val="28"/>
          <w:szCs w:val="28"/>
        </w:rPr>
        <w:t xml:space="preserve"> при решении вопроса о возвращении уголовного дела прокурору</w:t>
      </w:r>
    </w:p>
    <w:p w14:paraId="1BE9B526" w14:textId="77777777" w:rsidR="00D922C0" w:rsidRPr="0051116C" w:rsidRDefault="00D922C0" w:rsidP="005A611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6FD72335" w14:textId="77777777" w:rsidR="00634A08" w:rsidRDefault="00D922C0" w:rsidP="005A611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Возвращение уголовного дела прокурору, являясь хоть и экстраординарным результатом рассмотрения уголовного дела в суде, </w:t>
      </w:r>
      <w:r w:rsidR="00EA3301">
        <w:rPr>
          <w:bCs/>
          <w:sz w:val="28"/>
          <w:szCs w:val="28"/>
        </w:rPr>
        <w:t xml:space="preserve">продолжает достаточно часто встречаться в судебной практике. </w:t>
      </w:r>
      <w:r w:rsidR="000617E0">
        <w:rPr>
          <w:bCs/>
          <w:sz w:val="28"/>
          <w:szCs w:val="28"/>
        </w:rPr>
        <w:t>По данным Судебного департамента при Верховном Суде РФ</w:t>
      </w:r>
      <w:r w:rsidR="00EA3301">
        <w:rPr>
          <w:bCs/>
          <w:sz w:val="28"/>
          <w:szCs w:val="28"/>
        </w:rPr>
        <w:t xml:space="preserve">, в 2021 году было </w:t>
      </w:r>
      <w:r w:rsidR="00EA3301" w:rsidRPr="00EA3301">
        <w:rPr>
          <w:bCs/>
          <w:sz w:val="28"/>
          <w:szCs w:val="28"/>
        </w:rPr>
        <w:t xml:space="preserve">возвращено прокурору для устранения недостатков в порядке ст. 237 УПК РФ, </w:t>
      </w:r>
      <w:r w:rsidR="00EA3301">
        <w:rPr>
          <w:bCs/>
          <w:sz w:val="28"/>
          <w:szCs w:val="28"/>
        </w:rPr>
        <w:t xml:space="preserve">а также </w:t>
      </w:r>
      <w:r w:rsidR="00EA3301" w:rsidRPr="00EA3301">
        <w:rPr>
          <w:bCs/>
          <w:sz w:val="28"/>
          <w:szCs w:val="28"/>
        </w:rPr>
        <w:t>органам предварительного расследования с отказом в принятии или прекращении уг</w:t>
      </w:r>
      <w:r w:rsidR="00EA3301">
        <w:rPr>
          <w:bCs/>
          <w:sz w:val="28"/>
          <w:szCs w:val="28"/>
        </w:rPr>
        <w:t xml:space="preserve">оловного </w:t>
      </w:r>
      <w:r w:rsidR="00EA3301" w:rsidRPr="00EA3301">
        <w:rPr>
          <w:bCs/>
          <w:sz w:val="28"/>
          <w:szCs w:val="28"/>
        </w:rPr>
        <w:t>дела по ст. 446.2 УПК РФ</w:t>
      </w:r>
      <w:r w:rsidR="00EA3301">
        <w:rPr>
          <w:bCs/>
          <w:sz w:val="28"/>
          <w:szCs w:val="28"/>
        </w:rPr>
        <w:t>, 13 761 уголовное дело</w:t>
      </w:r>
      <w:r w:rsidR="002D523F">
        <w:rPr>
          <w:rStyle w:val="a9"/>
          <w:bCs/>
          <w:sz w:val="28"/>
          <w:szCs w:val="28"/>
        </w:rPr>
        <w:footnoteReference w:id="1"/>
      </w:r>
      <w:r w:rsidR="00EA3301">
        <w:rPr>
          <w:bCs/>
          <w:sz w:val="28"/>
          <w:szCs w:val="28"/>
        </w:rPr>
        <w:t>. За 6 месяцев 2022 года заявленный показатель составил 5 370 уголовных дел</w:t>
      </w:r>
      <w:r w:rsidR="002D523F">
        <w:rPr>
          <w:rStyle w:val="a9"/>
          <w:bCs/>
          <w:sz w:val="28"/>
          <w:szCs w:val="28"/>
        </w:rPr>
        <w:footnoteReference w:id="2"/>
      </w:r>
      <w:r w:rsidR="00EA3301">
        <w:rPr>
          <w:bCs/>
          <w:sz w:val="28"/>
          <w:szCs w:val="28"/>
        </w:rPr>
        <w:t xml:space="preserve">, что </w:t>
      </w:r>
      <w:r w:rsidR="001D5A23">
        <w:rPr>
          <w:bCs/>
          <w:sz w:val="28"/>
          <w:szCs w:val="28"/>
        </w:rPr>
        <w:t>свидетельствует</w:t>
      </w:r>
      <w:r w:rsidR="00EA3301">
        <w:rPr>
          <w:bCs/>
          <w:sz w:val="28"/>
          <w:szCs w:val="28"/>
        </w:rPr>
        <w:t xml:space="preserve"> об отсутствии тенденции к существенному снижению количества </w:t>
      </w:r>
      <w:r w:rsidR="00857ED3">
        <w:rPr>
          <w:bCs/>
          <w:sz w:val="28"/>
          <w:szCs w:val="28"/>
        </w:rPr>
        <w:t xml:space="preserve">уголовных дел, возвращённых прокурору, и об актуальности </w:t>
      </w:r>
      <w:r w:rsidR="001D5A23">
        <w:rPr>
          <w:bCs/>
          <w:sz w:val="28"/>
          <w:szCs w:val="28"/>
        </w:rPr>
        <w:t xml:space="preserve">научного </w:t>
      </w:r>
      <w:r w:rsidR="00857ED3">
        <w:rPr>
          <w:bCs/>
          <w:sz w:val="28"/>
          <w:szCs w:val="28"/>
        </w:rPr>
        <w:t xml:space="preserve">исследования применения судами ст. 237 УПК РФ.  </w:t>
      </w:r>
    </w:p>
    <w:p w14:paraId="2B6E8F22" w14:textId="77777777" w:rsidR="001D5A23" w:rsidRDefault="00634A08" w:rsidP="005A611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Одним из оснований </w:t>
      </w:r>
      <w:r w:rsidR="00857ED3">
        <w:rPr>
          <w:bCs/>
          <w:sz w:val="28"/>
          <w:szCs w:val="28"/>
        </w:rPr>
        <w:t>возвращения уголовно</w:t>
      </w:r>
      <w:r w:rsidR="002D523F">
        <w:rPr>
          <w:bCs/>
          <w:sz w:val="28"/>
          <w:szCs w:val="28"/>
        </w:rPr>
        <w:t>го</w:t>
      </w:r>
      <w:r w:rsidR="00857ED3">
        <w:rPr>
          <w:bCs/>
          <w:sz w:val="28"/>
          <w:szCs w:val="28"/>
        </w:rPr>
        <w:t xml:space="preserve"> дела п</w:t>
      </w:r>
      <w:r>
        <w:rPr>
          <w:bCs/>
          <w:sz w:val="28"/>
          <w:szCs w:val="28"/>
        </w:rPr>
        <w:t>рокурору является нарушение требований УПК РФ при составлении</w:t>
      </w:r>
      <w:r w:rsidR="00857ED3">
        <w:rPr>
          <w:bCs/>
          <w:sz w:val="28"/>
          <w:szCs w:val="28"/>
        </w:rPr>
        <w:t xml:space="preserve"> </w:t>
      </w:r>
      <w:r w:rsidR="00857ED3" w:rsidRPr="00857ED3">
        <w:rPr>
          <w:bCs/>
          <w:sz w:val="28"/>
          <w:szCs w:val="28"/>
        </w:rPr>
        <w:t>обвинительно</w:t>
      </w:r>
      <w:r>
        <w:rPr>
          <w:bCs/>
          <w:sz w:val="28"/>
          <w:szCs w:val="28"/>
        </w:rPr>
        <w:t>го</w:t>
      </w:r>
      <w:r w:rsidR="00857ED3" w:rsidRPr="00857ED3">
        <w:rPr>
          <w:bCs/>
          <w:sz w:val="28"/>
          <w:szCs w:val="28"/>
        </w:rPr>
        <w:t xml:space="preserve"> заключени</w:t>
      </w:r>
      <w:r>
        <w:rPr>
          <w:bCs/>
          <w:sz w:val="28"/>
          <w:szCs w:val="28"/>
        </w:rPr>
        <w:t>я</w:t>
      </w:r>
      <w:r w:rsidR="00811CBD">
        <w:rPr>
          <w:bCs/>
          <w:sz w:val="28"/>
          <w:szCs w:val="28"/>
        </w:rPr>
        <w:t xml:space="preserve"> (</w:t>
      </w:r>
      <w:r w:rsidR="00857ED3" w:rsidRPr="00857ED3">
        <w:rPr>
          <w:bCs/>
          <w:sz w:val="28"/>
          <w:szCs w:val="28"/>
        </w:rPr>
        <w:t>акт</w:t>
      </w:r>
      <w:r>
        <w:rPr>
          <w:bCs/>
          <w:sz w:val="28"/>
          <w:szCs w:val="28"/>
        </w:rPr>
        <w:t>а</w:t>
      </w:r>
      <w:r w:rsidR="00811CBD">
        <w:rPr>
          <w:bCs/>
          <w:sz w:val="28"/>
          <w:szCs w:val="28"/>
        </w:rPr>
        <w:t xml:space="preserve">, </w:t>
      </w:r>
      <w:r w:rsidR="00857ED3" w:rsidRPr="00857ED3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</w:t>
      </w:r>
      <w:r w:rsidR="00811CBD">
        <w:rPr>
          <w:bCs/>
          <w:sz w:val="28"/>
          <w:szCs w:val="28"/>
        </w:rPr>
        <w:t>)</w:t>
      </w:r>
      <w:r w:rsidR="001D5A23">
        <w:rPr>
          <w:bCs/>
          <w:sz w:val="28"/>
          <w:szCs w:val="28"/>
        </w:rPr>
        <w:t>.</w:t>
      </w:r>
      <w:r w:rsidR="00857ED3" w:rsidRPr="00857ED3">
        <w:rPr>
          <w:bCs/>
          <w:sz w:val="28"/>
          <w:szCs w:val="28"/>
        </w:rPr>
        <w:t xml:space="preserve"> </w:t>
      </w:r>
      <w:r w:rsidR="001D5A23">
        <w:rPr>
          <w:bCs/>
          <w:sz w:val="28"/>
          <w:szCs w:val="28"/>
        </w:rPr>
        <w:t>Однако, уголовно-процессуальный закон не содержит конкретного перечня таких нарушений, ограничиваясь лишь оценочным суждением для их определения</w:t>
      </w:r>
      <w:r w:rsidR="00213CFC">
        <w:rPr>
          <w:bCs/>
          <w:sz w:val="28"/>
          <w:szCs w:val="28"/>
        </w:rPr>
        <w:t>:</w:t>
      </w:r>
      <w:r w:rsidR="001D5A23">
        <w:rPr>
          <w:bCs/>
          <w:sz w:val="28"/>
          <w:szCs w:val="28"/>
        </w:rPr>
        <w:t xml:space="preserve"> </w:t>
      </w:r>
      <w:r w:rsidR="000617E0">
        <w:rPr>
          <w:bCs/>
          <w:sz w:val="28"/>
          <w:szCs w:val="28"/>
        </w:rPr>
        <w:t>«</w:t>
      </w:r>
      <w:r w:rsidR="00213CFC">
        <w:rPr>
          <w:bCs/>
          <w:sz w:val="28"/>
          <w:szCs w:val="28"/>
        </w:rPr>
        <w:t>И</w:t>
      </w:r>
      <w:r w:rsidR="001D5A23">
        <w:rPr>
          <w:bCs/>
          <w:sz w:val="28"/>
          <w:szCs w:val="28"/>
        </w:rPr>
        <w:t>сключающи</w:t>
      </w:r>
      <w:r w:rsidR="001D5A23" w:rsidRPr="001D5A23">
        <w:rPr>
          <w:bCs/>
          <w:sz w:val="28"/>
          <w:szCs w:val="28"/>
        </w:rPr>
        <w:t>е возможность постановления судом приговора или вынесения иного решения на основе данного заключения, акта или постановления</w:t>
      </w:r>
      <w:r w:rsidR="000617E0">
        <w:rPr>
          <w:bCs/>
          <w:sz w:val="28"/>
          <w:szCs w:val="28"/>
        </w:rPr>
        <w:t>»</w:t>
      </w:r>
      <w:r w:rsidR="001D5A23">
        <w:rPr>
          <w:bCs/>
          <w:sz w:val="28"/>
          <w:szCs w:val="28"/>
        </w:rPr>
        <w:t xml:space="preserve"> (п. 1 ч.1 ст. 237 УПК РФ).</w:t>
      </w:r>
    </w:p>
    <w:p w14:paraId="4B75CDF6" w14:textId="41DD24E2" w:rsidR="00DE6259" w:rsidRDefault="001D5A23" w:rsidP="005A611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Легальное толкование </w:t>
      </w:r>
      <w:r w:rsidR="004255A6">
        <w:rPr>
          <w:bCs/>
          <w:sz w:val="28"/>
          <w:szCs w:val="28"/>
        </w:rPr>
        <w:t>указанного основания</w:t>
      </w:r>
      <w:r w:rsidR="006A452A">
        <w:rPr>
          <w:bCs/>
          <w:sz w:val="28"/>
          <w:szCs w:val="28"/>
        </w:rPr>
        <w:t xml:space="preserve"> дано в</w:t>
      </w:r>
      <w:r w:rsidRPr="001D5A23">
        <w:rPr>
          <w:bCs/>
          <w:sz w:val="28"/>
          <w:szCs w:val="28"/>
        </w:rPr>
        <w:t xml:space="preserve"> </w:t>
      </w:r>
      <w:r w:rsidR="006A452A" w:rsidRPr="006A452A">
        <w:rPr>
          <w:bCs/>
          <w:sz w:val="28"/>
          <w:szCs w:val="28"/>
        </w:rPr>
        <w:t>п. 14</w:t>
      </w:r>
      <w:r w:rsidR="006A452A">
        <w:rPr>
          <w:bCs/>
          <w:sz w:val="28"/>
          <w:szCs w:val="28"/>
        </w:rPr>
        <w:t xml:space="preserve"> </w:t>
      </w:r>
      <w:r w:rsidR="003211FE">
        <w:rPr>
          <w:bCs/>
          <w:sz w:val="28"/>
          <w:szCs w:val="28"/>
        </w:rPr>
        <w:t>П</w:t>
      </w:r>
      <w:r w:rsidR="006A452A">
        <w:rPr>
          <w:bCs/>
          <w:sz w:val="28"/>
          <w:szCs w:val="28"/>
        </w:rPr>
        <w:t>остановления</w:t>
      </w:r>
      <w:r w:rsidRPr="001D5A23">
        <w:rPr>
          <w:bCs/>
          <w:sz w:val="28"/>
          <w:szCs w:val="28"/>
        </w:rPr>
        <w:t xml:space="preserve"> Пленума</w:t>
      </w:r>
      <w:r w:rsidR="000617E0">
        <w:rPr>
          <w:bCs/>
          <w:sz w:val="28"/>
          <w:szCs w:val="28"/>
        </w:rPr>
        <w:t xml:space="preserve"> ВС РФ</w:t>
      </w:r>
      <w:r w:rsidRPr="001D5A23">
        <w:rPr>
          <w:bCs/>
          <w:sz w:val="28"/>
          <w:szCs w:val="28"/>
        </w:rPr>
        <w:t xml:space="preserve"> от 05.03.2004 </w:t>
      </w:r>
      <w:r w:rsidR="000617E0">
        <w:rPr>
          <w:bCs/>
          <w:sz w:val="28"/>
          <w:szCs w:val="28"/>
        </w:rPr>
        <w:t>№</w:t>
      </w:r>
      <w:r w:rsidRPr="001D5A23">
        <w:rPr>
          <w:bCs/>
          <w:sz w:val="28"/>
          <w:szCs w:val="28"/>
        </w:rPr>
        <w:t xml:space="preserve"> 1 </w:t>
      </w:r>
      <w:r w:rsidR="000617E0">
        <w:rPr>
          <w:bCs/>
          <w:sz w:val="28"/>
          <w:szCs w:val="28"/>
        </w:rPr>
        <w:t>«</w:t>
      </w:r>
      <w:r w:rsidRPr="001D5A23">
        <w:rPr>
          <w:bCs/>
          <w:sz w:val="28"/>
          <w:szCs w:val="28"/>
        </w:rPr>
        <w:t>О применении судами норм Уголовно-</w:t>
      </w:r>
      <w:r w:rsidRPr="001D5A23">
        <w:rPr>
          <w:bCs/>
          <w:sz w:val="28"/>
          <w:szCs w:val="28"/>
        </w:rPr>
        <w:lastRenderedPageBreak/>
        <w:t>процессуального кодекса РФ</w:t>
      </w:r>
      <w:r w:rsidR="000617E0">
        <w:rPr>
          <w:bCs/>
          <w:sz w:val="28"/>
          <w:szCs w:val="28"/>
        </w:rPr>
        <w:t>»</w:t>
      </w:r>
      <w:r w:rsidR="00213CFC">
        <w:rPr>
          <w:bCs/>
          <w:sz w:val="28"/>
          <w:szCs w:val="28"/>
        </w:rPr>
        <w:t xml:space="preserve"> путем приведения к</w:t>
      </w:r>
      <w:r w:rsidR="006A452A">
        <w:rPr>
          <w:bCs/>
          <w:sz w:val="28"/>
          <w:szCs w:val="28"/>
        </w:rPr>
        <w:t>онкретны</w:t>
      </w:r>
      <w:r w:rsidR="00213CFC">
        <w:rPr>
          <w:bCs/>
          <w:sz w:val="28"/>
          <w:szCs w:val="28"/>
        </w:rPr>
        <w:t>х</w:t>
      </w:r>
      <w:r w:rsidR="006A452A">
        <w:rPr>
          <w:bCs/>
          <w:sz w:val="28"/>
          <w:szCs w:val="28"/>
        </w:rPr>
        <w:t xml:space="preserve"> пример</w:t>
      </w:r>
      <w:r w:rsidR="00213CFC">
        <w:rPr>
          <w:bCs/>
          <w:sz w:val="28"/>
          <w:szCs w:val="28"/>
        </w:rPr>
        <w:t>ов</w:t>
      </w:r>
      <w:r w:rsidR="006A452A">
        <w:rPr>
          <w:bCs/>
          <w:sz w:val="28"/>
          <w:szCs w:val="28"/>
        </w:rPr>
        <w:t xml:space="preserve"> нарушений, допущенных при составлении обвинительного заключения (акта, постановления), при которых уголовное дело подлежит возвращению прокурору.</w:t>
      </w:r>
      <w:r w:rsidR="00DE6259">
        <w:rPr>
          <w:bCs/>
          <w:sz w:val="28"/>
          <w:szCs w:val="28"/>
        </w:rPr>
        <w:t xml:space="preserve"> </w:t>
      </w:r>
    </w:p>
    <w:p w14:paraId="016B4291" w14:textId="77777777" w:rsidR="001D5A23" w:rsidRDefault="00491A60" w:rsidP="005A611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Анализ практики </w:t>
      </w:r>
      <w:r w:rsidR="00E85565">
        <w:rPr>
          <w:bCs/>
          <w:sz w:val="28"/>
          <w:szCs w:val="28"/>
        </w:rPr>
        <w:t xml:space="preserve">судебной коллегии по уголовным делам </w:t>
      </w:r>
      <w:r>
        <w:rPr>
          <w:bCs/>
          <w:sz w:val="28"/>
          <w:szCs w:val="28"/>
        </w:rPr>
        <w:t>Нижегородско</w:t>
      </w:r>
      <w:r w:rsidR="00E85565">
        <w:rPr>
          <w:bCs/>
          <w:sz w:val="28"/>
          <w:szCs w:val="28"/>
        </w:rPr>
        <w:t>го областного суда</w:t>
      </w:r>
      <w:r>
        <w:rPr>
          <w:bCs/>
          <w:sz w:val="28"/>
          <w:szCs w:val="28"/>
        </w:rPr>
        <w:t xml:space="preserve"> </w:t>
      </w:r>
      <w:r w:rsidR="00DE6259">
        <w:rPr>
          <w:bCs/>
          <w:sz w:val="28"/>
          <w:szCs w:val="28"/>
        </w:rPr>
        <w:t>позволяет</w:t>
      </w:r>
      <w:r w:rsidR="00DE6259" w:rsidRPr="00DE6259">
        <w:rPr>
          <w:bCs/>
          <w:sz w:val="28"/>
          <w:szCs w:val="28"/>
        </w:rPr>
        <w:t xml:space="preserve"> сформулировать </w:t>
      </w:r>
      <w:r w:rsidR="00DE6259">
        <w:rPr>
          <w:bCs/>
          <w:sz w:val="28"/>
          <w:szCs w:val="28"/>
        </w:rPr>
        <w:t xml:space="preserve">правило, которым </w:t>
      </w:r>
      <w:r w:rsidR="000617E0">
        <w:rPr>
          <w:bCs/>
          <w:sz w:val="28"/>
          <w:szCs w:val="28"/>
        </w:rPr>
        <w:t xml:space="preserve">могут </w:t>
      </w:r>
      <w:r w:rsidR="00DE6259">
        <w:rPr>
          <w:bCs/>
          <w:sz w:val="28"/>
          <w:szCs w:val="28"/>
        </w:rPr>
        <w:t>руководствоваться судьи при оценке нарушений, допущенных при составлении обвинительного заключения (акта, постановления)</w:t>
      </w:r>
      <w:r w:rsidR="00DE6259" w:rsidRPr="00DE6259">
        <w:rPr>
          <w:bCs/>
          <w:sz w:val="28"/>
          <w:szCs w:val="28"/>
        </w:rPr>
        <w:t xml:space="preserve">: </w:t>
      </w:r>
      <w:r w:rsidR="000617E0">
        <w:rPr>
          <w:bCs/>
          <w:sz w:val="28"/>
          <w:szCs w:val="28"/>
        </w:rPr>
        <w:t>«</w:t>
      </w:r>
      <w:r w:rsidR="00DE6259" w:rsidRPr="00DE6259">
        <w:rPr>
          <w:bCs/>
          <w:sz w:val="28"/>
          <w:szCs w:val="28"/>
        </w:rPr>
        <w:t>Уголовное дело не подлежит возвращению прокурору, в случае, если допущенные нарушения</w:t>
      </w:r>
      <w:r w:rsidR="000617E0">
        <w:rPr>
          <w:bCs/>
          <w:sz w:val="28"/>
          <w:szCs w:val="28"/>
        </w:rPr>
        <w:t xml:space="preserve"> при составлении обвинительного заключения (акта, постановления)</w:t>
      </w:r>
      <w:r w:rsidR="00DE6259" w:rsidRPr="00DE6259">
        <w:rPr>
          <w:bCs/>
          <w:sz w:val="28"/>
          <w:szCs w:val="28"/>
        </w:rPr>
        <w:t xml:space="preserve"> устранимы путем системного анализа имеющихся материалов уголовного дела, дополнительного истребования необходимых сведений (проведения судебной экспертизы) и оценки собранных</w:t>
      </w:r>
      <w:r w:rsidR="00DE6259">
        <w:rPr>
          <w:bCs/>
          <w:sz w:val="28"/>
          <w:szCs w:val="28"/>
        </w:rPr>
        <w:t xml:space="preserve"> </w:t>
      </w:r>
      <w:r w:rsidR="00DE6259" w:rsidRPr="00DE6259">
        <w:rPr>
          <w:bCs/>
          <w:sz w:val="28"/>
          <w:szCs w:val="28"/>
        </w:rPr>
        <w:t>по делу доказательств</w:t>
      </w:r>
      <w:r w:rsidR="000617E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0AE5733F" w14:textId="77777777" w:rsidR="00587209" w:rsidRDefault="00E85565" w:rsidP="00491A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Системный анализ материалов уголовного дела применяется при выявлении коллизий, например </w:t>
      </w:r>
      <w:r w:rsidR="00491A60">
        <w:rPr>
          <w:bCs/>
          <w:sz w:val="28"/>
          <w:szCs w:val="28"/>
        </w:rPr>
        <w:t>связанны</w:t>
      </w:r>
      <w:r>
        <w:rPr>
          <w:bCs/>
          <w:sz w:val="28"/>
          <w:szCs w:val="28"/>
        </w:rPr>
        <w:t>х</w:t>
      </w:r>
      <w:r w:rsidR="00587209" w:rsidRPr="00587209">
        <w:rPr>
          <w:bCs/>
          <w:sz w:val="28"/>
          <w:szCs w:val="28"/>
        </w:rPr>
        <w:t xml:space="preserve"> с установлением личности обвиняемого</w:t>
      </w:r>
      <w:r w:rsidR="005A6110">
        <w:rPr>
          <w:bCs/>
          <w:sz w:val="28"/>
          <w:szCs w:val="28"/>
        </w:rPr>
        <w:t>.</w:t>
      </w:r>
      <w:r w:rsidR="00122B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Так, п</w:t>
      </w:r>
      <w:r w:rsidR="00587209" w:rsidRPr="00587209">
        <w:rPr>
          <w:bCs/>
          <w:sz w:val="28"/>
          <w:szCs w:val="28"/>
        </w:rPr>
        <w:t xml:space="preserve">остановлением Саровского городского суда Нижегородской области от 02 ноября 2020 года, уголовное дело </w:t>
      </w:r>
      <w:r w:rsidR="005A6110" w:rsidRPr="00587209">
        <w:rPr>
          <w:bCs/>
          <w:sz w:val="28"/>
          <w:szCs w:val="28"/>
        </w:rPr>
        <w:t>в отношении Т</w:t>
      </w:r>
      <w:r w:rsidR="005A6110">
        <w:rPr>
          <w:bCs/>
          <w:sz w:val="28"/>
          <w:szCs w:val="28"/>
        </w:rPr>
        <w:t>.</w:t>
      </w:r>
      <w:r w:rsidR="005A6110" w:rsidRPr="00587209">
        <w:rPr>
          <w:bCs/>
          <w:sz w:val="28"/>
          <w:szCs w:val="28"/>
        </w:rPr>
        <w:t>А.М.</w:t>
      </w:r>
      <w:r w:rsidR="00122BA9">
        <w:rPr>
          <w:bCs/>
          <w:sz w:val="28"/>
          <w:szCs w:val="28"/>
        </w:rPr>
        <w:t>, обвиняемого в совершении преступления, предусмотренного ст. 264.1 УК РФ,</w:t>
      </w:r>
      <w:r w:rsidR="005A6110">
        <w:rPr>
          <w:bCs/>
          <w:sz w:val="28"/>
          <w:szCs w:val="28"/>
        </w:rPr>
        <w:t xml:space="preserve"> </w:t>
      </w:r>
      <w:r w:rsidR="00587209" w:rsidRPr="00587209">
        <w:rPr>
          <w:bCs/>
          <w:sz w:val="28"/>
          <w:szCs w:val="28"/>
        </w:rPr>
        <w:t xml:space="preserve">возвращено прокурору ЗАТО г. </w:t>
      </w:r>
      <w:r>
        <w:rPr>
          <w:bCs/>
          <w:sz w:val="28"/>
          <w:szCs w:val="28"/>
        </w:rPr>
        <w:t>Саров Нижегородской области,</w:t>
      </w:r>
      <w:r w:rsidR="00587209" w:rsidRPr="00587209">
        <w:rPr>
          <w:bCs/>
          <w:sz w:val="28"/>
          <w:szCs w:val="28"/>
        </w:rPr>
        <w:t xml:space="preserve"> </w:t>
      </w:r>
      <w:r w:rsidR="00122BA9">
        <w:rPr>
          <w:bCs/>
          <w:sz w:val="28"/>
          <w:szCs w:val="28"/>
        </w:rPr>
        <w:t xml:space="preserve">поскольку в </w:t>
      </w:r>
      <w:r w:rsidR="00587209" w:rsidRPr="00587209">
        <w:rPr>
          <w:bCs/>
          <w:sz w:val="28"/>
          <w:szCs w:val="28"/>
        </w:rPr>
        <w:t>обвинительном акте указано, что постановлением мирового судьи судебного участка Перевозского района Нижегородской области от 24.06.2018</w:t>
      </w:r>
      <w:r w:rsidR="00122BA9">
        <w:rPr>
          <w:bCs/>
          <w:sz w:val="28"/>
          <w:szCs w:val="28"/>
        </w:rPr>
        <w:t xml:space="preserve"> </w:t>
      </w:r>
      <w:r w:rsidR="00587209" w:rsidRPr="00587209">
        <w:rPr>
          <w:bCs/>
          <w:sz w:val="28"/>
          <w:szCs w:val="28"/>
        </w:rPr>
        <w:t>г., некто Т</w:t>
      </w:r>
      <w:r w:rsidR="005A6110">
        <w:rPr>
          <w:bCs/>
          <w:sz w:val="28"/>
          <w:szCs w:val="28"/>
        </w:rPr>
        <w:t>.</w:t>
      </w:r>
      <w:r w:rsidR="00587209" w:rsidRPr="00587209">
        <w:rPr>
          <w:bCs/>
          <w:sz w:val="28"/>
          <w:szCs w:val="28"/>
        </w:rPr>
        <w:t>Н.А. был привлечен к административной ответственности по ч.1 ст.12.8 КОАП РФ, который (Т</w:t>
      </w:r>
      <w:r w:rsidR="005A6110">
        <w:rPr>
          <w:bCs/>
          <w:sz w:val="28"/>
          <w:szCs w:val="28"/>
        </w:rPr>
        <w:t>.</w:t>
      </w:r>
      <w:r w:rsidR="00587209" w:rsidRPr="00587209">
        <w:rPr>
          <w:bCs/>
          <w:sz w:val="28"/>
          <w:szCs w:val="28"/>
        </w:rPr>
        <w:t>Н.А.) 9 сентября 2020 года, при описываемых в обвинительном акте обстоятельствах, якобы совершил инкриминируемое Т</w:t>
      </w:r>
      <w:r w:rsidR="00122BA9">
        <w:rPr>
          <w:bCs/>
          <w:sz w:val="28"/>
          <w:szCs w:val="28"/>
        </w:rPr>
        <w:t>.</w:t>
      </w:r>
      <w:r w:rsidR="00587209" w:rsidRPr="00587209">
        <w:rPr>
          <w:bCs/>
          <w:sz w:val="28"/>
          <w:szCs w:val="28"/>
        </w:rPr>
        <w:t>А.М., преступление.</w:t>
      </w:r>
      <w:r w:rsidR="005A6110">
        <w:rPr>
          <w:bCs/>
          <w:sz w:val="28"/>
          <w:szCs w:val="28"/>
        </w:rPr>
        <w:t xml:space="preserve"> </w:t>
      </w:r>
      <w:r w:rsidR="00921861">
        <w:rPr>
          <w:bCs/>
          <w:sz w:val="28"/>
          <w:szCs w:val="28"/>
        </w:rPr>
        <w:t>Отменяя указанное постановление</w:t>
      </w:r>
      <w:r w:rsidR="00587209" w:rsidRPr="00587209">
        <w:rPr>
          <w:bCs/>
          <w:sz w:val="28"/>
          <w:szCs w:val="28"/>
        </w:rPr>
        <w:t xml:space="preserve">, суд апелляционной инстанции отметил, что </w:t>
      </w:r>
      <w:r w:rsidR="005A6110">
        <w:rPr>
          <w:bCs/>
          <w:sz w:val="28"/>
          <w:szCs w:val="28"/>
        </w:rPr>
        <w:t>о</w:t>
      </w:r>
      <w:r w:rsidR="00587209" w:rsidRPr="00587209">
        <w:rPr>
          <w:bCs/>
          <w:sz w:val="28"/>
          <w:szCs w:val="28"/>
        </w:rPr>
        <w:t xml:space="preserve">шибочное указание в обвинительном акте инициалов обвиняемого, как </w:t>
      </w:r>
      <w:r w:rsidR="000617E0">
        <w:rPr>
          <w:bCs/>
          <w:sz w:val="28"/>
          <w:szCs w:val="28"/>
        </w:rPr>
        <w:t>«</w:t>
      </w:r>
      <w:r w:rsidR="00587209" w:rsidRPr="00587209">
        <w:rPr>
          <w:bCs/>
          <w:sz w:val="28"/>
          <w:szCs w:val="28"/>
        </w:rPr>
        <w:t>Т</w:t>
      </w:r>
      <w:r w:rsidR="005A6110">
        <w:rPr>
          <w:bCs/>
          <w:sz w:val="28"/>
          <w:szCs w:val="28"/>
        </w:rPr>
        <w:t>.</w:t>
      </w:r>
      <w:r w:rsidR="00587209" w:rsidRPr="00587209">
        <w:rPr>
          <w:bCs/>
          <w:sz w:val="28"/>
          <w:szCs w:val="28"/>
        </w:rPr>
        <w:t>Н.А.</w:t>
      </w:r>
      <w:r w:rsidR="000617E0">
        <w:rPr>
          <w:bCs/>
          <w:sz w:val="28"/>
          <w:szCs w:val="28"/>
        </w:rPr>
        <w:t>»</w:t>
      </w:r>
      <w:r w:rsidR="00587209" w:rsidRPr="00587209">
        <w:rPr>
          <w:bCs/>
          <w:sz w:val="28"/>
          <w:szCs w:val="28"/>
        </w:rPr>
        <w:t xml:space="preserve">, вместо </w:t>
      </w:r>
      <w:r w:rsidR="000617E0">
        <w:rPr>
          <w:bCs/>
          <w:sz w:val="28"/>
          <w:szCs w:val="28"/>
        </w:rPr>
        <w:t>«</w:t>
      </w:r>
      <w:r w:rsidR="00587209" w:rsidRPr="00587209">
        <w:rPr>
          <w:bCs/>
          <w:sz w:val="28"/>
          <w:szCs w:val="28"/>
        </w:rPr>
        <w:t>Т</w:t>
      </w:r>
      <w:r w:rsidR="005A6110">
        <w:rPr>
          <w:bCs/>
          <w:sz w:val="28"/>
          <w:szCs w:val="28"/>
        </w:rPr>
        <w:t>.</w:t>
      </w:r>
      <w:r w:rsidR="00587209" w:rsidRPr="00587209">
        <w:rPr>
          <w:bCs/>
          <w:sz w:val="28"/>
          <w:szCs w:val="28"/>
        </w:rPr>
        <w:t>А.М.</w:t>
      </w:r>
      <w:r w:rsidR="000617E0">
        <w:rPr>
          <w:bCs/>
          <w:sz w:val="28"/>
          <w:szCs w:val="28"/>
        </w:rPr>
        <w:t>»</w:t>
      </w:r>
      <w:r w:rsidR="00587209" w:rsidRPr="00587209">
        <w:rPr>
          <w:bCs/>
          <w:sz w:val="28"/>
          <w:szCs w:val="28"/>
        </w:rPr>
        <w:t xml:space="preserve"> может быть устранено при рассмотрении дела по существу, в том числе при уточнении позиции участников судебного разбирательства относительно обоснованности предъявленного Т</w:t>
      </w:r>
      <w:r w:rsidR="005A6110">
        <w:rPr>
          <w:bCs/>
          <w:sz w:val="28"/>
          <w:szCs w:val="28"/>
        </w:rPr>
        <w:t>.</w:t>
      </w:r>
      <w:r w:rsidR="00587209" w:rsidRPr="00587209">
        <w:rPr>
          <w:bCs/>
          <w:sz w:val="28"/>
          <w:szCs w:val="28"/>
        </w:rPr>
        <w:t xml:space="preserve">А.М. </w:t>
      </w:r>
      <w:r w:rsidR="00587209" w:rsidRPr="00587209">
        <w:rPr>
          <w:bCs/>
          <w:sz w:val="28"/>
          <w:szCs w:val="28"/>
        </w:rPr>
        <w:lastRenderedPageBreak/>
        <w:t>обвинения, исследования материалов уголовного дела по личности подсудимого Т</w:t>
      </w:r>
      <w:r w:rsidR="005A6110">
        <w:rPr>
          <w:bCs/>
          <w:sz w:val="28"/>
          <w:szCs w:val="28"/>
        </w:rPr>
        <w:t>.</w:t>
      </w:r>
      <w:r w:rsidR="00122BA9">
        <w:rPr>
          <w:bCs/>
          <w:sz w:val="28"/>
          <w:szCs w:val="28"/>
        </w:rPr>
        <w:t>А.М.</w:t>
      </w:r>
    </w:p>
    <w:p w14:paraId="1F82DEB4" w14:textId="77777777" w:rsidR="00CC342D" w:rsidRPr="00587209" w:rsidRDefault="00CC342D" w:rsidP="00491A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не совсем корректным является мнение авторов, указывающих на безусловное возвращение уголовного дела прокурору в случае, если </w:t>
      </w:r>
      <w:r w:rsidRPr="00CC342D">
        <w:rPr>
          <w:bCs/>
          <w:sz w:val="28"/>
          <w:szCs w:val="28"/>
        </w:rPr>
        <w:t xml:space="preserve">на завершающем этапе расследования </w:t>
      </w:r>
      <w:r>
        <w:rPr>
          <w:bCs/>
          <w:sz w:val="28"/>
          <w:szCs w:val="28"/>
        </w:rPr>
        <w:t xml:space="preserve">обвиняемый </w:t>
      </w:r>
      <w:r w:rsidRPr="00CC342D">
        <w:rPr>
          <w:bCs/>
          <w:sz w:val="28"/>
          <w:szCs w:val="28"/>
        </w:rPr>
        <w:t>меняет фамилию и не уведомляет об этом следователя</w:t>
      </w:r>
      <w:r>
        <w:rPr>
          <w:rStyle w:val="a9"/>
          <w:bCs/>
          <w:sz w:val="28"/>
          <w:szCs w:val="28"/>
        </w:rPr>
        <w:footnoteReference w:id="3"/>
      </w:r>
      <w:r w:rsidR="001B42F8">
        <w:rPr>
          <w:bCs/>
          <w:sz w:val="28"/>
          <w:szCs w:val="28"/>
        </w:rPr>
        <w:t>, поскольку устранение данного нарушения на стадии судебного разбирательства все же возможно</w:t>
      </w:r>
      <w:r>
        <w:rPr>
          <w:bCs/>
          <w:sz w:val="28"/>
          <w:szCs w:val="28"/>
        </w:rPr>
        <w:t>.</w:t>
      </w:r>
    </w:p>
    <w:p w14:paraId="7AA661D0" w14:textId="5CFE1485" w:rsidR="00587209" w:rsidRDefault="0051212B" w:rsidP="001B42F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Системный анализ применяется и </w:t>
      </w:r>
      <w:r w:rsidRPr="0051212B">
        <w:rPr>
          <w:bCs/>
          <w:sz w:val="28"/>
          <w:szCs w:val="28"/>
        </w:rPr>
        <w:t>при выявлении пробелов</w:t>
      </w:r>
      <w:r>
        <w:rPr>
          <w:bCs/>
          <w:sz w:val="28"/>
          <w:szCs w:val="28"/>
        </w:rPr>
        <w:t xml:space="preserve"> в</w:t>
      </w:r>
      <w:r w:rsidRPr="0051212B">
        <w:rPr>
          <w:bCs/>
          <w:sz w:val="28"/>
          <w:szCs w:val="28"/>
        </w:rPr>
        <w:t xml:space="preserve"> обвинительно</w:t>
      </w:r>
      <w:r>
        <w:rPr>
          <w:bCs/>
          <w:sz w:val="28"/>
          <w:szCs w:val="28"/>
        </w:rPr>
        <w:t>м</w:t>
      </w:r>
      <w:r w:rsidRPr="0051212B">
        <w:rPr>
          <w:bCs/>
          <w:sz w:val="28"/>
          <w:szCs w:val="28"/>
        </w:rPr>
        <w:t xml:space="preserve"> заключени</w:t>
      </w:r>
      <w:r>
        <w:rPr>
          <w:bCs/>
          <w:sz w:val="28"/>
          <w:szCs w:val="28"/>
        </w:rPr>
        <w:t>и</w:t>
      </w:r>
      <w:r w:rsidRPr="0051212B">
        <w:rPr>
          <w:bCs/>
          <w:sz w:val="28"/>
          <w:szCs w:val="28"/>
        </w:rPr>
        <w:t xml:space="preserve"> (акт</w:t>
      </w:r>
      <w:r>
        <w:rPr>
          <w:bCs/>
          <w:sz w:val="28"/>
          <w:szCs w:val="28"/>
        </w:rPr>
        <w:t>е, постановлении</w:t>
      </w:r>
      <w:r w:rsidRPr="0051212B">
        <w:rPr>
          <w:bCs/>
          <w:sz w:val="28"/>
          <w:szCs w:val="28"/>
        </w:rPr>
        <w:t xml:space="preserve">), например при </w:t>
      </w:r>
      <w:r w:rsidR="005E6017" w:rsidRPr="005E6017">
        <w:rPr>
          <w:bCs/>
          <w:sz w:val="28"/>
          <w:szCs w:val="28"/>
        </w:rPr>
        <w:t>не указани</w:t>
      </w:r>
      <w:r w:rsidR="005E6017">
        <w:rPr>
          <w:bCs/>
          <w:sz w:val="28"/>
          <w:szCs w:val="28"/>
        </w:rPr>
        <w:t>и</w:t>
      </w:r>
      <w:r w:rsidR="005E6017" w:rsidRPr="005E6017">
        <w:rPr>
          <w:bCs/>
          <w:sz w:val="28"/>
          <w:szCs w:val="28"/>
        </w:rPr>
        <w:t xml:space="preserve"> в об</w:t>
      </w:r>
      <w:r w:rsidR="005E6017">
        <w:rPr>
          <w:bCs/>
          <w:sz w:val="28"/>
          <w:szCs w:val="28"/>
        </w:rPr>
        <w:t xml:space="preserve">винительном заключении </w:t>
      </w:r>
      <w:r w:rsidR="005E6017" w:rsidRPr="005E6017">
        <w:rPr>
          <w:bCs/>
          <w:sz w:val="28"/>
          <w:szCs w:val="28"/>
        </w:rPr>
        <w:t>прошлы</w:t>
      </w:r>
      <w:r w:rsidR="005E6017">
        <w:rPr>
          <w:bCs/>
          <w:sz w:val="28"/>
          <w:szCs w:val="28"/>
        </w:rPr>
        <w:t>х судимостей</w:t>
      </w:r>
      <w:r w:rsidR="005E6017" w:rsidRPr="005E6017">
        <w:rPr>
          <w:bCs/>
          <w:sz w:val="28"/>
          <w:szCs w:val="28"/>
        </w:rPr>
        <w:t xml:space="preserve"> обвиняемого</w:t>
      </w:r>
      <w:r w:rsidRPr="0051212B">
        <w:rPr>
          <w:bCs/>
          <w:sz w:val="28"/>
          <w:szCs w:val="28"/>
        </w:rPr>
        <w:t xml:space="preserve">. </w:t>
      </w:r>
      <w:r w:rsidR="00C807FC">
        <w:rPr>
          <w:bCs/>
          <w:sz w:val="28"/>
          <w:szCs w:val="28"/>
        </w:rPr>
        <w:t>Несмотря на то, что</w:t>
      </w:r>
      <w:r w:rsidR="001B42F8">
        <w:rPr>
          <w:bCs/>
          <w:sz w:val="28"/>
          <w:szCs w:val="28"/>
        </w:rPr>
        <w:t xml:space="preserve"> в п. 14 вышеуказанного п</w:t>
      </w:r>
      <w:r w:rsidR="001B42F8" w:rsidRPr="001B42F8">
        <w:rPr>
          <w:bCs/>
          <w:sz w:val="28"/>
          <w:szCs w:val="28"/>
        </w:rPr>
        <w:t>остановлени</w:t>
      </w:r>
      <w:r w:rsidR="001B42F8">
        <w:rPr>
          <w:bCs/>
          <w:sz w:val="28"/>
          <w:szCs w:val="28"/>
        </w:rPr>
        <w:t>я</w:t>
      </w:r>
      <w:r w:rsidR="001B42F8" w:rsidRPr="001B42F8">
        <w:rPr>
          <w:bCs/>
          <w:sz w:val="28"/>
          <w:szCs w:val="28"/>
        </w:rPr>
        <w:t xml:space="preserve"> Пленума Верховного Суда РФ от 05.03.2004 </w:t>
      </w:r>
      <w:r w:rsidR="000617E0">
        <w:rPr>
          <w:bCs/>
          <w:sz w:val="28"/>
          <w:szCs w:val="28"/>
        </w:rPr>
        <w:t>№</w:t>
      </w:r>
      <w:r w:rsidR="001B42F8">
        <w:rPr>
          <w:bCs/>
          <w:sz w:val="28"/>
          <w:szCs w:val="28"/>
        </w:rPr>
        <w:t>1</w:t>
      </w:r>
      <w:r w:rsidR="001B42F8" w:rsidRPr="001B42F8">
        <w:rPr>
          <w:bCs/>
          <w:sz w:val="28"/>
          <w:szCs w:val="28"/>
        </w:rPr>
        <w:t xml:space="preserve"> </w:t>
      </w:r>
      <w:r w:rsidR="005E6017">
        <w:rPr>
          <w:bCs/>
          <w:sz w:val="28"/>
          <w:szCs w:val="28"/>
        </w:rPr>
        <w:t xml:space="preserve">указанное нарушение </w:t>
      </w:r>
      <w:r w:rsidR="001B42F8">
        <w:rPr>
          <w:bCs/>
          <w:sz w:val="28"/>
          <w:szCs w:val="28"/>
        </w:rPr>
        <w:t>приведено в качестве основания для возвращения уголовного дела прокурора</w:t>
      </w:r>
      <w:r w:rsidR="005E6017">
        <w:rPr>
          <w:bCs/>
          <w:sz w:val="28"/>
          <w:szCs w:val="28"/>
        </w:rPr>
        <w:t>, современная</w:t>
      </w:r>
      <w:r w:rsidR="001B42F8">
        <w:rPr>
          <w:bCs/>
          <w:sz w:val="28"/>
          <w:szCs w:val="28"/>
        </w:rPr>
        <w:t xml:space="preserve"> судебная практика, с учетом имеющихся информационных ресурсов, идет по другому пути.</w:t>
      </w:r>
      <w:r w:rsidR="001B42F8" w:rsidRPr="001B42F8">
        <w:rPr>
          <w:bCs/>
          <w:sz w:val="28"/>
          <w:szCs w:val="28"/>
        </w:rPr>
        <w:t xml:space="preserve"> </w:t>
      </w:r>
      <w:r w:rsidR="00921861">
        <w:rPr>
          <w:bCs/>
          <w:sz w:val="28"/>
          <w:szCs w:val="28"/>
        </w:rPr>
        <w:t>Так, п</w:t>
      </w:r>
      <w:r w:rsidR="00587209" w:rsidRPr="00587209">
        <w:rPr>
          <w:bCs/>
          <w:sz w:val="28"/>
          <w:szCs w:val="28"/>
        </w:rPr>
        <w:t>остановлением Канавинского районного суда г.</w:t>
      </w:r>
      <w:r w:rsidR="00802B4A">
        <w:rPr>
          <w:bCs/>
          <w:sz w:val="28"/>
          <w:szCs w:val="28"/>
        </w:rPr>
        <w:t xml:space="preserve"> </w:t>
      </w:r>
      <w:r w:rsidR="00587209" w:rsidRPr="00587209">
        <w:rPr>
          <w:bCs/>
          <w:sz w:val="28"/>
          <w:szCs w:val="28"/>
        </w:rPr>
        <w:t>Н.Новгорода от 17 декабря 2019 года уголовное дело в отношении Егорова Д.О. возвращено прокурору,</w:t>
      </w:r>
      <w:r w:rsidR="00122BA9">
        <w:rPr>
          <w:bCs/>
          <w:sz w:val="28"/>
          <w:szCs w:val="28"/>
        </w:rPr>
        <w:t xml:space="preserve"> поскольку</w:t>
      </w:r>
      <w:r w:rsidR="00587209" w:rsidRPr="00587209">
        <w:rPr>
          <w:bCs/>
          <w:sz w:val="28"/>
          <w:szCs w:val="28"/>
        </w:rPr>
        <w:t xml:space="preserve"> в обвинительном заключении не указаны две </w:t>
      </w:r>
      <w:r w:rsidR="00921861">
        <w:rPr>
          <w:bCs/>
          <w:sz w:val="28"/>
          <w:szCs w:val="28"/>
        </w:rPr>
        <w:t>его непогашенные судимости</w:t>
      </w:r>
      <w:r w:rsidR="00587209" w:rsidRPr="0058720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Однако о</w:t>
      </w:r>
      <w:r w:rsidR="00587209" w:rsidRPr="00587209">
        <w:rPr>
          <w:bCs/>
          <w:sz w:val="28"/>
          <w:szCs w:val="28"/>
        </w:rPr>
        <w:t xml:space="preserve">тменяя указанное постановления, суд апелляционной инстанции отметил, что в материалах уголовного дела представлено требование ИЦ ГУ МВД по Нижегородской области, содержащее полные сведения об имевшихся фактах привлечения Егорова Д.О. к уголовной ответственности, </w:t>
      </w:r>
      <w:r w:rsidR="00122BA9">
        <w:rPr>
          <w:bCs/>
          <w:sz w:val="28"/>
          <w:szCs w:val="28"/>
        </w:rPr>
        <w:t>а также н</w:t>
      </w:r>
      <w:r w:rsidR="00587209" w:rsidRPr="00587209">
        <w:rPr>
          <w:bCs/>
          <w:sz w:val="28"/>
          <w:szCs w:val="28"/>
        </w:rPr>
        <w:t>адлежащим образом заверенные копии приговоров</w:t>
      </w:r>
      <w:r w:rsidR="002345C9">
        <w:rPr>
          <w:bCs/>
          <w:sz w:val="28"/>
          <w:szCs w:val="28"/>
        </w:rPr>
        <w:t>. Кроме того</w:t>
      </w:r>
      <w:r w:rsidR="00587209" w:rsidRPr="0058720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самом обжалуемом постановлении, </w:t>
      </w:r>
      <w:r w:rsidR="00587209" w:rsidRPr="00587209">
        <w:rPr>
          <w:bCs/>
          <w:sz w:val="28"/>
          <w:szCs w:val="28"/>
        </w:rPr>
        <w:t>на основании данных документов суд первой инстанции уже самостоятельно установил наличие у Егорова Д.О. непогашенных судимостей по вышеуказанным приговорам</w:t>
      </w:r>
      <w:r>
        <w:rPr>
          <w:bCs/>
          <w:sz w:val="28"/>
          <w:szCs w:val="28"/>
        </w:rPr>
        <w:t xml:space="preserve">, что </w:t>
      </w:r>
      <w:r w:rsidR="00C807FC">
        <w:rPr>
          <w:bCs/>
          <w:sz w:val="28"/>
          <w:szCs w:val="28"/>
        </w:rPr>
        <w:t>не влечет возвраще</w:t>
      </w:r>
      <w:r>
        <w:rPr>
          <w:bCs/>
          <w:sz w:val="28"/>
          <w:szCs w:val="28"/>
        </w:rPr>
        <w:t>ние уголовного дела прокурору</w:t>
      </w:r>
      <w:r w:rsidR="00587209" w:rsidRPr="00587209">
        <w:rPr>
          <w:bCs/>
          <w:sz w:val="28"/>
          <w:szCs w:val="28"/>
        </w:rPr>
        <w:t>.</w:t>
      </w:r>
      <w:r w:rsidR="005E6017">
        <w:rPr>
          <w:bCs/>
          <w:sz w:val="28"/>
          <w:szCs w:val="28"/>
        </w:rPr>
        <w:t xml:space="preserve"> </w:t>
      </w:r>
    </w:p>
    <w:p w14:paraId="5C035685" w14:textId="77777777" w:rsidR="005E6017" w:rsidRPr="00587209" w:rsidRDefault="005E6017" w:rsidP="001B42F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Таким образом, следует не согласиться с мнением авторов, указывающих, что отсутствие сведений о судимости является основанием для возвращения уголовного дела прокурору</w:t>
      </w:r>
      <w:r>
        <w:rPr>
          <w:rStyle w:val="a9"/>
          <w:bCs/>
          <w:sz w:val="28"/>
          <w:szCs w:val="28"/>
        </w:rPr>
        <w:footnoteReference w:id="4"/>
      </w:r>
      <w:r>
        <w:rPr>
          <w:bCs/>
          <w:sz w:val="28"/>
          <w:szCs w:val="28"/>
        </w:rPr>
        <w:t xml:space="preserve">. </w:t>
      </w:r>
    </w:p>
    <w:p w14:paraId="071B0868" w14:textId="77777777" w:rsidR="004255A6" w:rsidRPr="004255A6" w:rsidRDefault="004255A6" w:rsidP="004255A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Отсутствие в </w:t>
      </w:r>
      <w:r w:rsidRPr="004255A6">
        <w:rPr>
          <w:bCs/>
          <w:sz w:val="28"/>
          <w:szCs w:val="28"/>
        </w:rPr>
        <w:t>материал</w:t>
      </w:r>
      <w:r>
        <w:rPr>
          <w:bCs/>
          <w:sz w:val="28"/>
          <w:szCs w:val="28"/>
        </w:rPr>
        <w:t>ах</w:t>
      </w:r>
      <w:r w:rsidRPr="004255A6">
        <w:rPr>
          <w:bCs/>
          <w:sz w:val="28"/>
          <w:szCs w:val="28"/>
        </w:rPr>
        <w:t xml:space="preserve"> уголовного дела документов, подтверждающих наличие перечисленных в справке информационного центра ГУ МВД России по Нижегородской области судимостей</w:t>
      </w:r>
      <w:r>
        <w:rPr>
          <w:bCs/>
          <w:sz w:val="28"/>
          <w:szCs w:val="28"/>
        </w:rPr>
        <w:t xml:space="preserve">, также не является основанием для возвращения уголовного дела прокурору. Так, отменяя </w:t>
      </w:r>
      <w:r w:rsidR="0051212B">
        <w:rPr>
          <w:bCs/>
          <w:sz w:val="28"/>
          <w:szCs w:val="28"/>
        </w:rPr>
        <w:t>п</w:t>
      </w:r>
      <w:r w:rsidR="00587209" w:rsidRPr="00587209">
        <w:rPr>
          <w:bCs/>
          <w:sz w:val="28"/>
          <w:szCs w:val="28"/>
        </w:rPr>
        <w:t>остановление Дзержинского городского суда Нижегородской области от 25 марта 2020 года, суд апелляционной инстанции отметил, что</w:t>
      </w:r>
      <w:r w:rsidR="0050231F">
        <w:rPr>
          <w:bCs/>
          <w:sz w:val="28"/>
          <w:szCs w:val="28"/>
        </w:rPr>
        <w:t xml:space="preserve"> отсутствие</w:t>
      </w:r>
      <w:r w:rsidR="00587209" w:rsidRPr="00587209">
        <w:rPr>
          <w:bCs/>
          <w:sz w:val="28"/>
          <w:szCs w:val="28"/>
        </w:rPr>
        <w:t xml:space="preserve"> копий приговоров по предыдущим судимостям К</w:t>
      </w:r>
      <w:r>
        <w:rPr>
          <w:bCs/>
          <w:sz w:val="28"/>
          <w:szCs w:val="28"/>
        </w:rPr>
        <w:t>.</w:t>
      </w:r>
      <w:r w:rsidR="00587209" w:rsidRPr="00587209">
        <w:rPr>
          <w:bCs/>
          <w:sz w:val="28"/>
          <w:szCs w:val="28"/>
        </w:rPr>
        <w:t>С.С. могло быть восполнено в ходе судебного производства по делу</w:t>
      </w:r>
      <w:r w:rsidR="0050231F">
        <w:rPr>
          <w:bCs/>
          <w:sz w:val="28"/>
          <w:szCs w:val="28"/>
        </w:rPr>
        <w:t xml:space="preserve"> путем истребования из архива судов</w:t>
      </w:r>
      <w:r w:rsidR="00587209" w:rsidRPr="00587209">
        <w:rPr>
          <w:bCs/>
          <w:sz w:val="28"/>
          <w:szCs w:val="28"/>
        </w:rPr>
        <w:t>.</w:t>
      </w:r>
    </w:p>
    <w:p w14:paraId="331E3A53" w14:textId="77777777" w:rsidR="004255A6" w:rsidRPr="004255A6" w:rsidRDefault="004255A6" w:rsidP="004255A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Резюмируя сказанное, </w:t>
      </w:r>
      <w:r w:rsidRPr="004255A6">
        <w:rPr>
          <w:bCs/>
          <w:sz w:val="28"/>
          <w:szCs w:val="28"/>
        </w:rPr>
        <w:t xml:space="preserve">следует констатировать, что большинство недостатков, формально указывающих на наличие нарушений требований, предъявляемых к содержанию обвинительного заключения (акта, постановления), по своей сути не </w:t>
      </w:r>
      <w:r w:rsidR="00C807FC">
        <w:rPr>
          <w:bCs/>
          <w:sz w:val="28"/>
          <w:szCs w:val="28"/>
        </w:rPr>
        <w:t>должны</w:t>
      </w:r>
      <w:r w:rsidRPr="004255A6">
        <w:rPr>
          <w:bCs/>
          <w:sz w:val="28"/>
          <w:szCs w:val="28"/>
        </w:rPr>
        <w:t xml:space="preserve"> влечь возвращение уголовного дела прокурору. Вместе с тем, механизма, подобного восстановлению недопустимого дока</w:t>
      </w:r>
      <w:r w:rsidR="00C807FC">
        <w:rPr>
          <w:bCs/>
          <w:sz w:val="28"/>
          <w:szCs w:val="28"/>
        </w:rPr>
        <w:t>зательства (ч.7 ст. 235 УПК РФ)</w:t>
      </w:r>
      <w:r w:rsidRPr="004255A6">
        <w:rPr>
          <w:bCs/>
          <w:sz w:val="28"/>
          <w:szCs w:val="28"/>
        </w:rPr>
        <w:t xml:space="preserve"> в отношении устранения нарушений</w:t>
      </w:r>
      <w:r w:rsidR="00C807FC">
        <w:rPr>
          <w:bCs/>
          <w:sz w:val="28"/>
          <w:szCs w:val="28"/>
        </w:rPr>
        <w:t>, допущенных</w:t>
      </w:r>
      <w:r w:rsidRPr="004255A6">
        <w:rPr>
          <w:bCs/>
          <w:sz w:val="28"/>
          <w:szCs w:val="28"/>
        </w:rPr>
        <w:t xml:space="preserve"> при составлении обвинительного заключения (акта, постановления), уголовно-процессуальное законодательство не содержит, что придает особое значение судебной оценке </w:t>
      </w:r>
      <w:r w:rsidR="00C807FC">
        <w:rPr>
          <w:bCs/>
          <w:sz w:val="28"/>
          <w:szCs w:val="28"/>
        </w:rPr>
        <w:t>подобных</w:t>
      </w:r>
      <w:r w:rsidRPr="004255A6">
        <w:rPr>
          <w:bCs/>
          <w:sz w:val="28"/>
          <w:szCs w:val="28"/>
        </w:rPr>
        <w:t xml:space="preserve"> </w:t>
      </w:r>
      <w:r w:rsidR="00C807FC">
        <w:rPr>
          <w:bCs/>
          <w:sz w:val="28"/>
          <w:szCs w:val="28"/>
        </w:rPr>
        <w:t>нарушений в</w:t>
      </w:r>
      <w:r w:rsidRPr="004255A6">
        <w:rPr>
          <w:bCs/>
          <w:sz w:val="28"/>
          <w:szCs w:val="28"/>
        </w:rPr>
        <w:t xml:space="preserve"> цел</w:t>
      </w:r>
      <w:r w:rsidR="00C807FC">
        <w:rPr>
          <w:bCs/>
          <w:sz w:val="28"/>
          <w:szCs w:val="28"/>
        </w:rPr>
        <w:t>ях</w:t>
      </w:r>
      <w:r w:rsidRPr="004255A6">
        <w:rPr>
          <w:bCs/>
          <w:sz w:val="28"/>
          <w:szCs w:val="28"/>
        </w:rPr>
        <w:t xml:space="preserve"> минимизации судебных ошибок</w:t>
      </w:r>
      <w:r>
        <w:rPr>
          <w:bCs/>
          <w:sz w:val="28"/>
          <w:szCs w:val="28"/>
        </w:rPr>
        <w:t xml:space="preserve">, соблюдения разумных сроков уголовного судопроизводства и недопущения </w:t>
      </w:r>
      <w:r w:rsidRPr="004255A6">
        <w:rPr>
          <w:bCs/>
          <w:sz w:val="28"/>
          <w:szCs w:val="28"/>
        </w:rPr>
        <w:t>нарушени</w:t>
      </w:r>
      <w:r>
        <w:rPr>
          <w:bCs/>
          <w:sz w:val="28"/>
          <w:szCs w:val="28"/>
        </w:rPr>
        <w:t>й</w:t>
      </w:r>
      <w:r w:rsidRPr="004255A6">
        <w:rPr>
          <w:bCs/>
          <w:sz w:val="28"/>
          <w:szCs w:val="28"/>
        </w:rPr>
        <w:t xml:space="preserve"> прав и законных интересов</w:t>
      </w:r>
      <w:r>
        <w:rPr>
          <w:bCs/>
          <w:sz w:val="28"/>
          <w:szCs w:val="28"/>
        </w:rPr>
        <w:t xml:space="preserve"> обвиняемых и потерпевших</w:t>
      </w:r>
      <w:r w:rsidRPr="004255A6">
        <w:rPr>
          <w:bCs/>
          <w:sz w:val="28"/>
          <w:szCs w:val="28"/>
        </w:rPr>
        <w:t>.</w:t>
      </w:r>
    </w:p>
    <w:sectPr w:rsidR="004255A6" w:rsidRPr="004255A6" w:rsidSect="00802B4A">
      <w:footerReference w:type="even" r:id="rId7"/>
      <w:footerReference w:type="default" r:id="rId8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25923" w14:textId="77777777" w:rsidR="0085301E" w:rsidRDefault="0085301E" w:rsidP="00D922C0">
      <w:r>
        <w:separator/>
      </w:r>
    </w:p>
  </w:endnote>
  <w:endnote w:type="continuationSeparator" w:id="0">
    <w:p w14:paraId="3E1CD051" w14:textId="77777777" w:rsidR="0085301E" w:rsidRDefault="0085301E" w:rsidP="00D9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13A14" w14:textId="77777777" w:rsidR="00000000" w:rsidRDefault="00A56937" w:rsidP="00631DD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E282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DDCA96" w14:textId="77777777" w:rsidR="00000000" w:rsidRDefault="00000000" w:rsidP="00B6617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A8F86" w14:textId="77777777" w:rsidR="00000000" w:rsidRDefault="00A56937" w:rsidP="00631DD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E282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07FC">
      <w:rPr>
        <w:rStyle w:val="a6"/>
        <w:noProof/>
      </w:rPr>
      <w:t>4</w:t>
    </w:r>
    <w:r>
      <w:rPr>
        <w:rStyle w:val="a6"/>
      </w:rPr>
      <w:fldChar w:fldCharType="end"/>
    </w:r>
  </w:p>
  <w:p w14:paraId="1610F334" w14:textId="77777777" w:rsidR="00000000" w:rsidRDefault="00000000" w:rsidP="00B6617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2BB28" w14:textId="77777777" w:rsidR="0085301E" w:rsidRDefault="0085301E" w:rsidP="00D922C0">
      <w:r>
        <w:separator/>
      </w:r>
    </w:p>
  </w:footnote>
  <w:footnote w:type="continuationSeparator" w:id="0">
    <w:p w14:paraId="7CFD402E" w14:textId="77777777" w:rsidR="0085301E" w:rsidRDefault="0085301E" w:rsidP="00D922C0">
      <w:r>
        <w:continuationSeparator/>
      </w:r>
    </w:p>
  </w:footnote>
  <w:footnote w:id="1">
    <w:p w14:paraId="1BAA7B0E" w14:textId="0A48512A" w:rsidR="002D523F" w:rsidRPr="00802B4A" w:rsidRDefault="002D523F">
      <w:pPr>
        <w:pStyle w:val="a7"/>
        <w:rPr>
          <w:sz w:val="24"/>
          <w:szCs w:val="24"/>
          <w:lang w:val="en-US"/>
        </w:rPr>
      </w:pPr>
      <w:r w:rsidRPr="00802B4A">
        <w:rPr>
          <w:rStyle w:val="a9"/>
          <w:sz w:val="24"/>
          <w:szCs w:val="24"/>
        </w:rPr>
        <w:footnoteRef/>
      </w:r>
      <w:r w:rsidRPr="00802B4A">
        <w:rPr>
          <w:sz w:val="24"/>
          <w:szCs w:val="24"/>
          <w:lang w:val="en-US"/>
        </w:rPr>
        <w:t xml:space="preserve"> </w:t>
      </w:r>
      <w:r w:rsidR="003211FE" w:rsidRPr="00802B4A">
        <w:rPr>
          <w:sz w:val="24"/>
          <w:szCs w:val="24"/>
          <w:lang w:val="en-US"/>
        </w:rPr>
        <w:t xml:space="preserve">URL: </w:t>
      </w:r>
      <w:r w:rsidR="000617E0" w:rsidRPr="00802B4A">
        <w:rPr>
          <w:sz w:val="24"/>
          <w:szCs w:val="24"/>
          <w:lang w:val="en-US"/>
        </w:rPr>
        <w:t>http://www.cdep.ru/index.php?id=79&amp;item=6120</w:t>
      </w:r>
    </w:p>
  </w:footnote>
  <w:footnote w:id="2">
    <w:p w14:paraId="763F7A5C" w14:textId="3B8BF953" w:rsidR="002D523F" w:rsidRPr="00802B4A" w:rsidRDefault="002D523F">
      <w:pPr>
        <w:pStyle w:val="a7"/>
        <w:rPr>
          <w:sz w:val="24"/>
          <w:szCs w:val="24"/>
          <w:lang w:val="en-US"/>
        </w:rPr>
      </w:pPr>
      <w:r w:rsidRPr="00802B4A">
        <w:rPr>
          <w:rStyle w:val="a9"/>
          <w:sz w:val="24"/>
          <w:szCs w:val="24"/>
        </w:rPr>
        <w:footnoteRef/>
      </w:r>
      <w:r w:rsidRPr="00802B4A">
        <w:rPr>
          <w:sz w:val="24"/>
          <w:szCs w:val="24"/>
          <w:lang w:val="en-US"/>
        </w:rPr>
        <w:t xml:space="preserve"> </w:t>
      </w:r>
      <w:r w:rsidR="003211FE" w:rsidRPr="00802B4A">
        <w:rPr>
          <w:sz w:val="24"/>
          <w:szCs w:val="24"/>
          <w:lang w:val="en-US"/>
        </w:rPr>
        <w:t xml:space="preserve">URL: </w:t>
      </w:r>
      <w:r w:rsidR="000617E0" w:rsidRPr="00802B4A">
        <w:rPr>
          <w:sz w:val="24"/>
          <w:szCs w:val="24"/>
          <w:lang w:val="en-US"/>
        </w:rPr>
        <w:t>http://www.cdep.ru/index.php?id=79&amp;item=7096</w:t>
      </w:r>
    </w:p>
  </w:footnote>
  <w:footnote w:id="3">
    <w:p w14:paraId="7C46170D" w14:textId="77777777" w:rsidR="00CC342D" w:rsidRPr="00802B4A" w:rsidRDefault="00CC342D" w:rsidP="00CC342D">
      <w:pPr>
        <w:pStyle w:val="a7"/>
        <w:jc w:val="both"/>
        <w:rPr>
          <w:sz w:val="24"/>
          <w:szCs w:val="24"/>
        </w:rPr>
      </w:pPr>
      <w:r w:rsidRPr="00802B4A">
        <w:rPr>
          <w:rStyle w:val="a9"/>
          <w:sz w:val="24"/>
          <w:szCs w:val="24"/>
        </w:rPr>
        <w:footnoteRef/>
      </w:r>
      <w:r w:rsidRPr="00802B4A">
        <w:rPr>
          <w:sz w:val="24"/>
          <w:szCs w:val="24"/>
        </w:rPr>
        <w:t xml:space="preserve"> Сабельфельд Т.Ю., Сажаев А.М. О некоторых нарушениях уголовно-процессуального законодательства, послуживших основаниями для возвращения уголовного дела прокурору в порядке статьи 237 УПК РФ // Российский следователь. 2020. N 6. С. 17 - 20.</w:t>
      </w:r>
    </w:p>
  </w:footnote>
  <w:footnote w:id="4">
    <w:p w14:paraId="27EF42D6" w14:textId="3216084E" w:rsidR="005E6017" w:rsidRPr="00802B4A" w:rsidRDefault="005E6017" w:rsidP="005E6017">
      <w:pPr>
        <w:pStyle w:val="a7"/>
        <w:jc w:val="both"/>
        <w:rPr>
          <w:sz w:val="24"/>
          <w:szCs w:val="24"/>
        </w:rPr>
      </w:pPr>
      <w:r w:rsidRPr="00802B4A">
        <w:rPr>
          <w:rStyle w:val="a9"/>
          <w:sz w:val="24"/>
          <w:szCs w:val="24"/>
        </w:rPr>
        <w:footnoteRef/>
      </w:r>
      <w:r w:rsidRPr="00802B4A">
        <w:rPr>
          <w:sz w:val="24"/>
          <w:szCs w:val="24"/>
        </w:rPr>
        <w:t xml:space="preserve"> Остапенко Е.П., Селянина Е.В. Неполное выяснение или </w:t>
      </w:r>
      <w:r w:rsidR="003211FE" w:rsidRPr="00802B4A">
        <w:rPr>
          <w:sz w:val="24"/>
          <w:szCs w:val="24"/>
        </w:rPr>
        <w:t>не выяснение</w:t>
      </w:r>
      <w:r w:rsidRPr="00802B4A">
        <w:rPr>
          <w:sz w:val="24"/>
          <w:szCs w:val="24"/>
        </w:rPr>
        <w:t xml:space="preserve"> сведений о судимости обвиняемого как основание возвращения уголовного дела прокурору // Российский судья. 2014. N 4. С. 27 - 30.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C0"/>
    <w:rsid w:val="000617E0"/>
    <w:rsid w:val="00122BA9"/>
    <w:rsid w:val="001B42F8"/>
    <w:rsid w:val="001D5A23"/>
    <w:rsid w:val="00213CFC"/>
    <w:rsid w:val="00230BD0"/>
    <w:rsid w:val="002345C9"/>
    <w:rsid w:val="002A1B39"/>
    <w:rsid w:val="002D523F"/>
    <w:rsid w:val="003211FE"/>
    <w:rsid w:val="00357ED5"/>
    <w:rsid w:val="003933F1"/>
    <w:rsid w:val="00424165"/>
    <w:rsid w:val="004255A6"/>
    <w:rsid w:val="00491A60"/>
    <w:rsid w:val="00494858"/>
    <w:rsid w:val="0050231F"/>
    <w:rsid w:val="0051212B"/>
    <w:rsid w:val="005576DF"/>
    <w:rsid w:val="00587209"/>
    <w:rsid w:val="0059067B"/>
    <w:rsid w:val="005A6110"/>
    <w:rsid w:val="005E6017"/>
    <w:rsid w:val="00634A08"/>
    <w:rsid w:val="006A452A"/>
    <w:rsid w:val="00802B4A"/>
    <w:rsid w:val="00811CBD"/>
    <w:rsid w:val="00830586"/>
    <w:rsid w:val="0085301E"/>
    <w:rsid w:val="00857ED3"/>
    <w:rsid w:val="00921861"/>
    <w:rsid w:val="00947F5B"/>
    <w:rsid w:val="009816A8"/>
    <w:rsid w:val="009D7DDB"/>
    <w:rsid w:val="00A56937"/>
    <w:rsid w:val="00A82128"/>
    <w:rsid w:val="00AE282C"/>
    <w:rsid w:val="00B81FCE"/>
    <w:rsid w:val="00BA72D9"/>
    <w:rsid w:val="00C66702"/>
    <w:rsid w:val="00C717E8"/>
    <w:rsid w:val="00C807FC"/>
    <w:rsid w:val="00CC342D"/>
    <w:rsid w:val="00D70F64"/>
    <w:rsid w:val="00D922C0"/>
    <w:rsid w:val="00DD2F1A"/>
    <w:rsid w:val="00DE6259"/>
    <w:rsid w:val="00E85565"/>
    <w:rsid w:val="00E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F51C"/>
  <w15:docId w15:val="{D1D2CEA8-6393-41A2-A36B-C48CF8BB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2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D922C0"/>
    <w:rPr>
      <w:color w:val="0000FF"/>
      <w:u w:val="single"/>
    </w:rPr>
  </w:style>
  <w:style w:type="paragraph" w:styleId="a4">
    <w:name w:val="footer"/>
    <w:basedOn w:val="a"/>
    <w:link w:val="a5"/>
    <w:rsid w:val="00D922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92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922C0"/>
  </w:style>
  <w:style w:type="paragraph" w:styleId="2">
    <w:name w:val="Body Text Indent 2"/>
    <w:basedOn w:val="a"/>
    <w:link w:val="20"/>
    <w:rsid w:val="00D9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92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D922C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922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D92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003D-6E3F-4551-9151-7BD50114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Кузовков</dc:creator>
  <cp:lastModifiedBy>Юлия Третьякова</cp:lastModifiedBy>
  <cp:revision>3</cp:revision>
  <dcterms:created xsi:type="dcterms:W3CDTF">2024-08-29T14:28:00Z</dcterms:created>
  <dcterms:modified xsi:type="dcterms:W3CDTF">2024-08-29T14:34:00Z</dcterms:modified>
</cp:coreProperties>
</file>