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EFB0D" w14:textId="7420AC8E" w:rsidR="008F735B" w:rsidRPr="00221D56" w:rsidRDefault="008F735B" w:rsidP="00815094">
      <w:pPr>
        <w:widowControl w:val="0"/>
        <w:tabs>
          <w:tab w:val="left" w:pos="1560"/>
          <w:tab w:val="left" w:leader="underscore" w:pos="8391"/>
        </w:tabs>
        <w:spacing w:after="0" w:line="240" w:lineRule="auto"/>
        <w:rPr>
          <w:rFonts w:ascii="Arial" w:hAnsi="Arial" w:cs="Arial"/>
          <w:sz w:val="24"/>
          <w:szCs w:val="24"/>
          <w:lang w:bidi="ru-RU"/>
        </w:rPr>
      </w:pPr>
      <w:bookmarkStart w:id="0" w:name="_Hlk133012056"/>
      <w:r w:rsidRPr="00221D56">
        <w:rPr>
          <w:rFonts w:ascii="Arial" w:hAnsi="Arial" w:cs="Arial"/>
          <w:sz w:val="24"/>
          <w:szCs w:val="24"/>
          <w:lang w:bidi="ru-RU"/>
        </w:rPr>
        <w:t>Колесова Акулина Егоровна</w:t>
      </w:r>
    </w:p>
    <w:bookmarkEnd w:id="0"/>
    <w:p w14:paraId="57BC98F7" w14:textId="0BAB9E8B" w:rsidR="00436920" w:rsidRPr="00221D56" w:rsidRDefault="00CD4650" w:rsidP="008150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F735B" w:rsidRPr="00221D56">
        <w:rPr>
          <w:rFonts w:ascii="Arial" w:hAnsi="Arial" w:cs="Arial"/>
          <w:sz w:val="24"/>
          <w:szCs w:val="24"/>
        </w:rPr>
        <w:t xml:space="preserve">тудентка 3 курса группы </w:t>
      </w:r>
      <w:proofErr w:type="gramStart"/>
      <w:r w:rsidR="008F735B" w:rsidRPr="00221D56">
        <w:rPr>
          <w:rFonts w:ascii="Arial" w:hAnsi="Arial" w:cs="Arial"/>
          <w:sz w:val="24"/>
          <w:szCs w:val="24"/>
        </w:rPr>
        <w:t>З-</w:t>
      </w:r>
      <w:proofErr w:type="gramEnd"/>
      <w:r w:rsidR="008F735B" w:rsidRPr="00221D56">
        <w:rPr>
          <w:rFonts w:ascii="Arial" w:hAnsi="Arial" w:cs="Arial"/>
          <w:sz w:val="24"/>
          <w:szCs w:val="24"/>
        </w:rPr>
        <w:t xml:space="preserve"> Б-ДО-20с Педагогического института Северо-восточного федерального университета им. М.К. </w:t>
      </w:r>
      <w:proofErr w:type="spellStart"/>
      <w:r w:rsidR="008F735B" w:rsidRPr="00221D56">
        <w:rPr>
          <w:rFonts w:ascii="Arial" w:hAnsi="Arial" w:cs="Arial"/>
          <w:sz w:val="24"/>
          <w:szCs w:val="24"/>
        </w:rPr>
        <w:t>Аммосова</w:t>
      </w:r>
      <w:proofErr w:type="spellEnd"/>
      <w:r w:rsidR="008F735B" w:rsidRPr="00221D56">
        <w:rPr>
          <w:rFonts w:ascii="Arial" w:hAnsi="Arial" w:cs="Arial"/>
          <w:sz w:val="24"/>
          <w:szCs w:val="24"/>
        </w:rPr>
        <w:t>, г. Якутск, Республика Саха (Якутия).</w:t>
      </w:r>
    </w:p>
    <w:p w14:paraId="1CB3E5EF" w14:textId="2D074454" w:rsidR="008F735B" w:rsidRDefault="008F735B" w:rsidP="00815094">
      <w:pPr>
        <w:spacing w:after="0" w:line="240" w:lineRule="auto"/>
        <w:rPr>
          <w:rStyle w:val="a3"/>
          <w:rFonts w:ascii="Arial" w:hAnsi="Arial" w:cs="Arial"/>
          <w:sz w:val="24"/>
          <w:szCs w:val="24"/>
        </w:rPr>
      </w:pPr>
      <w:r w:rsidRPr="00221D56">
        <w:rPr>
          <w:rFonts w:ascii="Arial" w:hAnsi="Arial" w:cs="Arial"/>
          <w:sz w:val="24"/>
          <w:szCs w:val="24"/>
        </w:rPr>
        <w:t xml:space="preserve">Электронная почта: </w:t>
      </w:r>
      <w:hyperlink r:id="rId6" w:history="1">
        <w:r w:rsidR="002D2BCC" w:rsidRPr="00316A38">
          <w:rPr>
            <w:rStyle w:val="a3"/>
            <w:rFonts w:ascii="Arial" w:hAnsi="Arial" w:cs="Arial"/>
            <w:sz w:val="24"/>
            <w:szCs w:val="24"/>
            <w:lang w:val="en-US"/>
          </w:rPr>
          <w:t>kolesaku</w:t>
        </w:r>
        <w:r w:rsidR="002D2BCC" w:rsidRPr="00316A38">
          <w:rPr>
            <w:rStyle w:val="a3"/>
            <w:rFonts w:ascii="Arial" w:hAnsi="Arial" w:cs="Arial"/>
            <w:sz w:val="24"/>
            <w:szCs w:val="24"/>
          </w:rPr>
          <w:t>@</w:t>
        </w:r>
        <w:r w:rsidR="002D2BCC" w:rsidRPr="00316A38">
          <w:rPr>
            <w:rStyle w:val="a3"/>
            <w:rFonts w:ascii="Arial" w:hAnsi="Arial" w:cs="Arial"/>
            <w:sz w:val="24"/>
            <w:szCs w:val="24"/>
            <w:lang w:val="en-US"/>
          </w:rPr>
          <w:t>yandex</w:t>
        </w:r>
        <w:r w:rsidR="002D2BCC" w:rsidRPr="00316A38">
          <w:rPr>
            <w:rStyle w:val="a3"/>
            <w:rFonts w:ascii="Arial" w:hAnsi="Arial" w:cs="Arial"/>
            <w:sz w:val="24"/>
            <w:szCs w:val="24"/>
          </w:rPr>
          <w:t>.</w:t>
        </w:r>
        <w:r w:rsidR="002D2BCC" w:rsidRPr="00316A38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</w:p>
    <w:p w14:paraId="0AD50723" w14:textId="6EB91252" w:rsidR="002D2BCC" w:rsidRPr="002D2BCC" w:rsidRDefault="002D2BCC" w:rsidP="008150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A117E2" w14:textId="77777777" w:rsidR="009373A3" w:rsidRPr="00221D56" w:rsidRDefault="009373A3" w:rsidP="00B56E19">
      <w:pPr>
        <w:widowControl w:val="0"/>
        <w:tabs>
          <w:tab w:val="left" w:pos="15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09312F" w14:textId="771818A8" w:rsidR="008F735B" w:rsidRPr="00CD4650" w:rsidRDefault="00CD4650" w:rsidP="00221D56">
      <w:pPr>
        <w:widowControl w:val="0"/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r>
        <w:rPr>
          <w:rFonts w:ascii="Arial" w:hAnsi="Arial" w:cs="Arial"/>
          <w:b/>
          <w:bCs/>
          <w:sz w:val="24"/>
          <w:szCs w:val="24"/>
        </w:rPr>
        <w:t>Р</w:t>
      </w:r>
      <w:r w:rsidRPr="00CD4650">
        <w:rPr>
          <w:rFonts w:ascii="Arial" w:hAnsi="Arial" w:cs="Arial"/>
          <w:b/>
          <w:bCs/>
          <w:sz w:val="24"/>
          <w:szCs w:val="24"/>
        </w:rPr>
        <w:t xml:space="preserve">азвитие произвольного внимания детей старшего дошкольного возраста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D4650">
        <w:rPr>
          <w:rFonts w:ascii="Arial" w:hAnsi="Arial" w:cs="Arial"/>
          <w:b/>
          <w:bCs/>
          <w:sz w:val="24"/>
          <w:szCs w:val="24"/>
        </w:rPr>
        <w:t>посредством дидактических игр</w:t>
      </w:r>
    </w:p>
    <w:p w14:paraId="5553CA09" w14:textId="77777777" w:rsidR="009373A3" w:rsidRPr="00221D56" w:rsidRDefault="009373A3" w:rsidP="00221D56">
      <w:pPr>
        <w:widowControl w:val="0"/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26B194" w14:textId="77777777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b/>
          <w:sz w:val="24"/>
          <w:szCs w:val="24"/>
        </w:rPr>
        <w:t>Аннотация.</w:t>
      </w:r>
      <w:r w:rsidRPr="00473342">
        <w:rPr>
          <w:rFonts w:ascii="Arial" w:hAnsi="Arial" w:cs="Arial"/>
          <w:sz w:val="24"/>
          <w:szCs w:val="24"/>
        </w:rPr>
        <w:t xml:space="preserve"> В статье отражена актуальность проблемы, особенности метода обследования детей и его результаты. Анализ результатов констатирующего эксп</w:t>
      </w:r>
      <w:r w:rsidRPr="00473342">
        <w:rPr>
          <w:rFonts w:ascii="Arial" w:hAnsi="Arial" w:cs="Arial"/>
          <w:sz w:val="24"/>
          <w:szCs w:val="24"/>
        </w:rPr>
        <w:t>е</w:t>
      </w:r>
      <w:r w:rsidRPr="00473342">
        <w:rPr>
          <w:rFonts w:ascii="Arial" w:hAnsi="Arial" w:cs="Arial"/>
          <w:sz w:val="24"/>
          <w:szCs w:val="24"/>
        </w:rPr>
        <w:t xml:space="preserve">римента способствовал разработке комплекса дидактических игр, направленных на развитие произвольного внимания детей  </w:t>
      </w:r>
    </w:p>
    <w:p w14:paraId="7A3C6648" w14:textId="167772BB" w:rsid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b/>
          <w:sz w:val="24"/>
          <w:szCs w:val="24"/>
        </w:rPr>
        <w:t>Ключевые слова:</w:t>
      </w:r>
      <w:r w:rsidRPr="00473342">
        <w:rPr>
          <w:rFonts w:ascii="Arial" w:hAnsi="Arial" w:cs="Arial"/>
          <w:sz w:val="24"/>
          <w:szCs w:val="24"/>
        </w:rPr>
        <w:t xml:space="preserve"> произвольное внимание, дошкольники, старший возраст, диагностика, дидактические игры.</w:t>
      </w:r>
    </w:p>
    <w:p w14:paraId="0D154754" w14:textId="77777777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sz w:val="24"/>
          <w:szCs w:val="24"/>
        </w:rPr>
        <w:t>В традиционной психологии внимание - это деятельность, которая позволяет нам разрешить сложную композицию впечатлений, приходящих к нам извне, выд</w:t>
      </w:r>
      <w:r w:rsidRPr="00473342">
        <w:rPr>
          <w:rFonts w:ascii="Arial" w:hAnsi="Arial" w:cs="Arial"/>
          <w:sz w:val="24"/>
          <w:szCs w:val="24"/>
        </w:rPr>
        <w:t>е</w:t>
      </w:r>
      <w:r w:rsidRPr="00473342">
        <w:rPr>
          <w:rFonts w:ascii="Arial" w:hAnsi="Arial" w:cs="Arial"/>
          <w:sz w:val="24"/>
          <w:szCs w:val="24"/>
        </w:rPr>
        <w:t>лить наиболее важную часть в потоке, сосредоточить на ней всю силу нашей де</w:t>
      </w:r>
      <w:r w:rsidRPr="00473342">
        <w:rPr>
          <w:rFonts w:ascii="Arial" w:hAnsi="Arial" w:cs="Arial"/>
          <w:sz w:val="24"/>
          <w:szCs w:val="24"/>
        </w:rPr>
        <w:t>я</w:t>
      </w:r>
      <w:r w:rsidRPr="00473342">
        <w:rPr>
          <w:rFonts w:ascii="Arial" w:hAnsi="Arial" w:cs="Arial"/>
          <w:sz w:val="24"/>
          <w:szCs w:val="24"/>
        </w:rPr>
        <w:t>тельности и тем самым облегчить проникновение в сознание. Также можно сказать, что это ориентация сознания на объект или явление и концентрация на нем, что означает повышение сенсорной, интеллектуальной или двигательной активности.</w:t>
      </w:r>
    </w:p>
    <w:p w14:paraId="045E191E" w14:textId="77777777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sz w:val="24"/>
          <w:szCs w:val="24"/>
        </w:rPr>
        <w:t>Согласно Л.С. Выготскому, произвольное внимание возникает, когда человек ставит перед собой определенную цель, задачу в своей деятельности и сознательно разрабатывает программу действий[1]. Цель определяет распределение объектов его внимания, требующих волевых усилий. Ориентация обозначена в соответствии с поставленной задачей. Это требует волевых усилий, которые утомляют. Основная функция произвольного внимания - активная регуляция протекания психических процессов. Наличие произвольного внимания позволяет человеку активно, избир</w:t>
      </w:r>
      <w:r w:rsidRPr="00473342">
        <w:rPr>
          <w:rFonts w:ascii="Arial" w:hAnsi="Arial" w:cs="Arial"/>
          <w:sz w:val="24"/>
          <w:szCs w:val="24"/>
        </w:rPr>
        <w:t>а</w:t>
      </w:r>
      <w:r w:rsidRPr="00473342">
        <w:rPr>
          <w:rFonts w:ascii="Arial" w:hAnsi="Arial" w:cs="Arial"/>
          <w:sz w:val="24"/>
          <w:szCs w:val="24"/>
        </w:rPr>
        <w:t>тельно извлекать информацию из памяти, выделять существенное, принимать пр</w:t>
      </w:r>
      <w:r w:rsidRPr="00473342">
        <w:rPr>
          <w:rFonts w:ascii="Arial" w:hAnsi="Arial" w:cs="Arial"/>
          <w:sz w:val="24"/>
          <w:szCs w:val="24"/>
        </w:rPr>
        <w:t>а</w:t>
      </w:r>
      <w:r w:rsidRPr="00473342">
        <w:rPr>
          <w:rFonts w:ascii="Arial" w:hAnsi="Arial" w:cs="Arial"/>
          <w:sz w:val="24"/>
          <w:szCs w:val="24"/>
        </w:rPr>
        <w:t>вильные решения, реализовывать планы, возникающие в процессе деятельности.</w:t>
      </w:r>
    </w:p>
    <w:p w14:paraId="28F63ED6" w14:textId="77777777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sz w:val="24"/>
          <w:szCs w:val="24"/>
        </w:rPr>
        <w:t>Как отмечает А.В. Запорожец, дошкольник способен внимательно рассматр</w:t>
      </w:r>
      <w:r w:rsidRPr="00473342">
        <w:rPr>
          <w:rFonts w:ascii="Arial" w:hAnsi="Arial" w:cs="Arial"/>
          <w:sz w:val="24"/>
          <w:szCs w:val="24"/>
        </w:rPr>
        <w:t>и</w:t>
      </w:r>
      <w:r w:rsidRPr="00473342">
        <w:rPr>
          <w:rFonts w:ascii="Arial" w:hAnsi="Arial" w:cs="Arial"/>
          <w:sz w:val="24"/>
          <w:szCs w:val="24"/>
        </w:rPr>
        <w:t xml:space="preserve">вать от двух до четырех предметов и с пониманием воспринимать один за другим [3]. Результат получается лучше, если взрослый комментирует </w:t>
      </w:r>
      <w:proofErr w:type="gramStart"/>
      <w:r w:rsidRPr="00473342">
        <w:rPr>
          <w:rFonts w:ascii="Arial" w:hAnsi="Arial" w:cs="Arial"/>
          <w:sz w:val="24"/>
          <w:szCs w:val="24"/>
        </w:rPr>
        <w:t>изображенное</w:t>
      </w:r>
      <w:proofErr w:type="gramEnd"/>
      <w:r w:rsidRPr="00473342">
        <w:rPr>
          <w:rFonts w:ascii="Arial" w:hAnsi="Arial" w:cs="Arial"/>
          <w:sz w:val="24"/>
          <w:szCs w:val="24"/>
        </w:rPr>
        <w:t>, сра</w:t>
      </w:r>
      <w:r w:rsidRPr="00473342">
        <w:rPr>
          <w:rFonts w:ascii="Arial" w:hAnsi="Arial" w:cs="Arial"/>
          <w:sz w:val="24"/>
          <w:szCs w:val="24"/>
        </w:rPr>
        <w:t>в</w:t>
      </w:r>
      <w:r w:rsidRPr="00473342">
        <w:rPr>
          <w:rFonts w:ascii="Arial" w:hAnsi="Arial" w:cs="Arial"/>
          <w:sz w:val="24"/>
          <w:szCs w:val="24"/>
        </w:rPr>
        <w:t>нивает предметы, устанавливает причинно-следственные связи между изображен</w:t>
      </w:r>
      <w:r w:rsidRPr="00473342">
        <w:rPr>
          <w:rFonts w:ascii="Arial" w:hAnsi="Arial" w:cs="Arial"/>
          <w:sz w:val="24"/>
          <w:szCs w:val="24"/>
        </w:rPr>
        <w:t>и</w:t>
      </w:r>
      <w:r w:rsidRPr="00473342">
        <w:rPr>
          <w:rFonts w:ascii="Arial" w:hAnsi="Arial" w:cs="Arial"/>
          <w:sz w:val="24"/>
          <w:szCs w:val="24"/>
        </w:rPr>
        <w:t>ями и вовлекает в эту работу ребенка. В возрасте шести лет количество объектов, которые дошкольник может воспринимать одновременно, значительно увеличивае</w:t>
      </w:r>
      <w:r w:rsidRPr="00473342">
        <w:rPr>
          <w:rFonts w:ascii="Arial" w:hAnsi="Arial" w:cs="Arial"/>
          <w:sz w:val="24"/>
          <w:szCs w:val="24"/>
        </w:rPr>
        <w:t>т</w:t>
      </w:r>
      <w:r w:rsidRPr="00473342">
        <w:rPr>
          <w:rFonts w:ascii="Arial" w:hAnsi="Arial" w:cs="Arial"/>
          <w:sz w:val="24"/>
          <w:szCs w:val="24"/>
        </w:rPr>
        <w:t xml:space="preserve">ся. Кроме того, меняется круг предметов, привлекающих внимание ребенка. </w:t>
      </w:r>
    </w:p>
    <w:p w14:paraId="09D54E4B" w14:textId="77777777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sz w:val="24"/>
          <w:szCs w:val="24"/>
        </w:rPr>
        <w:t>Если в раннем возрасте внимание малыша привлекали красочные, оригинал</w:t>
      </w:r>
      <w:r w:rsidRPr="00473342">
        <w:rPr>
          <w:rFonts w:ascii="Arial" w:hAnsi="Arial" w:cs="Arial"/>
          <w:sz w:val="24"/>
          <w:szCs w:val="24"/>
        </w:rPr>
        <w:t>ь</w:t>
      </w:r>
      <w:r w:rsidRPr="00473342">
        <w:rPr>
          <w:rFonts w:ascii="Arial" w:hAnsi="Arial" w:cs="Arial"/>
          <w:sz w:val="24"/>
          <w:szCs w:val="24"/>
        </w:rPr>
        <w:t>ные предметы, то в старшем дошкольном возрасте привлекательными могут стать, казалось бы, ничем не примечательные предметы. Загадка, вопрос могут все бол</w:t>
      </w:r>
      <w:r w:rsidRPr="00473342">
        <w:rPr>
          <w:rFonts w:ascii="Arial" w:hAnsi="Arial" w:cs="Arial"/>
          <w:sz w:val="24"/>
          <w:szCs w:val="24"/>
        </w:rPr>
        <w:t>ь</w:t>
      </w:r>
      <w:r w:rsidRPr="00473342">
        <w:rPr>
          <w:rFonts w:ascii="Arial" w:hAnsi="Arial" w:cs="Arial"/>
          <w:sz w:val="24"/>
          <w:szCs w:val="24"/>
        </w:rPr>
        <w:t>ше заинтересовать ребенка. В предметах, которые раньше были привлекательны для ребенка, старший дошкольник начинает замечать что-то еще, чего раньше за ним не замечалось.</w:t>
      </w:r>
    </w:p>
    <w:p w14:paraId="57294FB6" w14:textId="77777777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sz w:val="24"/>
          <w:szCs w:val="24"/>
        </w:rPr>
        <w:t>По словам Г. В. Петуховой [5], в старшем дошкольном возрасте меняются все без исключения типы и характеристики внимания. Происходит увеличение его объ</w:t>
      </w:r>
      <w:r w:rsidRPr="00473342">
        <w:rPr>
          <w:rFonts w:ascii="Arial" w:hAnsi="Arial" w:cs="Arial"/>
          <w:sz w:val="24"/>
          <w:szCs w:val="24"/>
        </w:rPr>
        <w:t>е</w:t>
      </w:r>
      <w:r w:rsidRPr="00473342">
        <w:rPr>
          <w:rFonts w:ascii="Arial" w:hAnsi="Arial" w:cs="Arial"/>
          <w:sz w:val="24"/>
          <w:szCs w:val="24"/>
        </w:rPr>
        <w:t>ма: дошкольник может взаимодействовать с двумя или тремя предметами. Вним</w:t>
      </w:r>
      <w:r w:rsidRPr="00473342">
        <w:rPr>
          <w:rFonts w:ascii="Arial" w:hAnsi="Arial" w:cs="Arial"/>
          <w:sz w:val="24"/>
          <w:szCs w:val="24"/>
        </w:rPr>
        <w:t>а</w:t>
      </w:r>
      <w:r w:rsidRPr="00473342">
        <w:rPr>
          <w:rFonts w:ascii="Arial" w:hAnsi="Arial" w:cs="Arial"/>
          <w:sz w:val="24"/>
          <w:szCs w:val="24"/>
        </w:rPr>
        <w:t>ние становится более стабильным. Это позволяет дошкольнику выполнять сложную и неинтересную работу, но под чутким руководством взрослого. Ребенок старшего дошкольного возраста не будет отвлекаться, когда поймет, что работу нужно дов</w:t>
      </w:r>
      <w:r w:rsidRPr="00473342">
        <w:rPr>
          <w:rFonts w:ascii="Arial" w:hAnsi="Arial" w:cs="Arial"/>
          <w:sz w:val="24"/>
          <w:szCs w:val="24"/>
        </w:rPr>
        <w:t>е</w:t>
      </w:r>
      <w:r w:rsidRPr="00473342">
        <w:rPr>
          <w:rFonts w:ascii="Arial" w:hAnsi="Arial" w:cs="Arial"/>
          <w:sz w:val="24"/>
          <w:szCs w:val="24"/>
        </w:rPr>
        <w:t>сти до конца, даже если есть более захватывающая альтернатива. Поддержание стабильности внимания, его сосредоточенности на предмете обусловлено развит</w:t>
      </w:r>
      <w:r w:rsidRPr="00473342">
        <w:rPr>
          <w:rFonts w:ascii="Arial" w:hAnsi="Arial" w:cs="Arial"/>
          <w:sz w:val="24"/>
          <w:szCs w:val="24"/>
        </w:rPr>
        <w:t>и</w:t>
      </w:r>
      <w:r w:rsidRPr="00473342">
        <w:rPr>
          <w:rFonts w:ascii="Arial" w:hAnsi="Arial" w:cs="Arial"/>
          <w:sz w:val="24"/>
          <w:szCs w:val="24"/>
        </w:rPr>
        <w:t xml:space="preserve">ем пытливости ума, интеллектуальных процессов. </w:t>
      </w:r>
    </w:p>
    <w:p w14:paraId="66E3E95C" w14:textId="77777777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sz w:val="24"/>
          <w:szCs w:val="24"/>
        </w:rPr>
        <w:lastRenderedPageBreak/>
        <w:t>Чтобы развить произвольное внимание, ребенок должен вызвать эмоционал</w:t>
      </w:r>
      <w:r w:rsidRPr="00473342">
        <w:rPr>
          <w:rFonts w:ascii="Arial" w:hAnsi="Arial" w:cs="Arial"/>
          <w:sz w:val="24"/>
          <w:szCs w:val="24"/>
        </w:rPr>
        <w:t>ь</w:t>
      </w:r>
      <w:r w:rsidRPr="00473342">
        <w:rPr>
          <w:rFonts w:ascii="Arial" w:hAnsi="Arial" w:cs="Arial"/>
          <w:sz w:val="24"/>
          <w:szCs w:val="24"/>
        </w:rPr>
        <w:t>ный интерес к своей деятельности, что становится возможным благодаря использ</w:t>
      </w:r>
      <w:r w:rsidRPr="00473342">
        <w:rPr>
          <w:rFonts w:ascii="Arial" w:hAnsi="Arial" w:cs="Arial"/>
          <w:sz w:val="24"/>
          <w:szCs w:val="24"/>
        </w:rPr>
        <w:t>о</w:t>
      </w:r>
      <w:r w:rsidRPr="00473342">
        <w:rPr>
          <w:rFonts w:ascii="Arial" w:hAnsi="Arial" w:cs="Arial"/>
          <w:sz w:val="24"/>
          <w:szCs w:val="24"/>
        </w:rPr>
        <w:t>ванию, прежде всего, ведущей деятельности дошкольника - игры. Детям по-прежнему трудно сосредоточиться на монотонных и непривлекательных для них з</w:t>
      </w:r>
      <w:r w:rsidRPr="00473342">
        <w:rPr>
          <w:rFonts w:ascii="Arial" w:hAnsi="Arial" w:cs="Arial"/>
          <w:sz w:val="24"/>
          <w:szCs w:val="24"/>
        </w:rPr>
        <w:t>а</w:t>
      </w:r>
      <w:r w:rsidRPr="00473342">
        <w:rPr>
          <w:rFonts w:ascii="Arial" w:hAnsi="Arial" w:cs="Arial"/>
          <w:sz w:val="24"/>
          <w:szCs w:val="24"/>
        </w:rPr>
        <w:t>нятиях, в то время как они могут оставаться внимательными в течение длительного времени во время эмоционально окрашенной игры.</w:t>
      </w:r>
    </w:p>
    <w:p w14:paraId="507C4C02" w14:textId="77777777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sz w:val="24"/>
          <w:szCs w:val="24"/>
        </w:rPr>
        <w:t>Игра формирует основные элементы волевых действий: ребенок ставит цель, принимает решение, намечает план действий, выполняет его, прилагает определе</w:t>
      </w:r>
      <w:r w:rsidRPr="00473342">
        <w:rPr>
          <w:rFonts w:ascii="Arial" w:hAnsi="Arial" w:cs="Arial"/>
          <w:sz w:val="24"/>
          <w:szCs w:val="24"/>
        </w:rPr>
        <w:t>н</w:t>
      </w:r>
      <w:r w:rsidRPr="00473342">
        <w:rPr>
          <w:rFonts w:ascii="Arial" w:hAnsi="Arial" w:cs="Arial"/>
          <w:sz w:val="24"/>
          <w:szCs w:val="24"/>
        </w:rPr>
        <w:t>ные усилия для преодоления препятствий, оценивает результат своего действия.</w:t>
      </w:r>
    </w:p>
    <w:p w14:paraId="4B7CBD8C" w14:textId="77777777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sz w:val="24"/>
          <w:szCs w:val="24"/>
        </w:rPr>
        <w:t xml:space="preserve">Диагностический этап исследования включал выявление </w:t>
      </w:r>
      <w:proofErr w:type="gramStart"/>
      <w:r w:rsidRPr="00473342">
        <w:rPr>
          <w:rFonts w:ascii="Arial" w:hAnsi="Arial" w:cs="Arial"/>
          <w:sz w:val="24"/>
          <w:szCs w:val="24"/>
        </w:rPr>
        <w:t>уровня развития пр</w:t>
      </w:r>
      <w:r w:rsidRPr="00473342">
        <w:rPr>
          <w:rFonts w:ascii="Arial" w:hAnsi="Arial" w:cs="Arial"/>
          <w:sz w:val="24"/>
          <w:szCs w:val="24"/>
        </w:rPr>
        <w:t>о</w:t>
      </w:r>
      <w:r w:rsidRPr="00473342">
        <w:rPr>
          <w:rFonts w:ascii="Arial" w:hAnsi="Arial" w:cs="Arial"/>
          <w:sz w:val="24"/>
          <w:szCs w:val="24"/>
        </w:rPr>
        <w:t>извольного внимания детей старшего дошкольного возраста</w:t>
      </w:r>
      <w:proofErr w:type="gramEnd"/>
      <w:r w:rsidRPr="00473342">
        <w:rPr>
          <w:rFonts w:ascii="Arial" w:hAnsi="Arial" w:cs="Arial"/>
          <w:sz w:val="24"/>
          <w:szCs w:val="24"/>
        </w:rPr>
        <w:t xml:space="preserve"> с помощью дидактич</w:t>
      </w:r>
      <w:r w:rsidRPr="00473342">
        <w:rPr>
          <w:rFonts w:ascii="Arial" w:hAnsi="Arial" w:cs="Arial"/>
          <w:sz w:val="24"/>
          <w:szCs w:val="24"/>
        </w:rPr>
        <w:t>е</w:t>
      </w:r>
      <w:r w:rsidRPr="00473342">
        <w:rPr>
          <w:rFonts w:ascii="Arial" w:hAnsi="Arial" w:cs="Arial"/>
          <w:sz w:val="24"/>
          <w:szCs w:val="24"/>
        </w:rPr>
        <w:t>ских игр.</w:t>
      </w:r>
    </w:p>
    <w:p w14:paraId="0B806F04" w14:textId="77777777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sz w:val="24"/>
          <w:szCs w:val="24"/>
        </w:rPr>
        <w:t xml:space="preserve">В исследовании приняли участие 20 детей в возрасте от 6 до 7 лет из детского сада </w:t>
      </w:r>
      <w:proofErr w:type="spellStart"/>
      <w:r w:rsidRPr="00473342">
        <w:rPr>
          <w:rFonts w:ascii="Arial" w:hAnsi="Arial" w:cs="Arial"/>
          <w:sz w:val="24"/>
          <w:szCs w:val="24"/>
        </w:rPr>
        <w:t>Кенчири</w:t>
      </w:r>
      <w:proofErr w:type="spellEnd"/>
      <w:r w:rsidRPr="00473342">
        <w:rPr>
          <w:rFonts w:ascii="Arial" w:hAnsi="Arial" w:cs="Arial"/>
          <w:sz w:val="24"/>
          <w:szCs w:val="24"/>
        </w:rPr>
        <w:t>.</w:t>
      </w:r>
    </w:p>
    <w:p w14:paraId="592FA70C" w14:textId="77777777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sz w:val="24"/>
          <w:szCs w:val="24"/>
        </w:rPr>
        <w:t>Методами, используемыми в исследовании, являются: метод "корректирующего теста"; метод "красно-черной таблицы"; метод определения концентрации внимания [4].</w:t>
      </w:r>
    </w:p>
    <w:p w14:paraId="142852DA" w14:textId="77777777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sz w:val="24"/>
          <w:szCs w:val="24"/>
        </w:rPr>
        <w:t>Метод "корректирующего теста". Методика используется для определения об</w:t>
      </w:r>
      <w:r w:rsidRPr="00473342">
        <w:rPr>
          <w:rFonts w:ascii="Arial" w:hAnsi="Arial" w:cs="Arial"/>
          <w:sz w:val="24"/>
          <w:szCs w:val="24"/>
        </w:rPr>
        <w:t>ъ</w:t>
      </w:r>
      <w:r w:rsidRPr="00473342">
        <w:rPr>
          <w:rFonts w:ascii="Arial" w:hAnsi="Arial" w:cs="Arial"/>
          <w:sz w:val="24"/>
          <w:szCs w:val="24"/>
        </w:rPr>
        <w:t>ема внимания (по количеству отображаемых букв или рисунков) и его концентрации - по количеству допущенных ошибок.</w:t>
      </w:r>
    </w:p>
    <w:p w14:paraId="69FF205A" w14:textId="77777777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sz w:val="24"/>
          <w:szCs w:val="24"/>
        </w:rPr>
        <w:t>Техника "красно-черный стол". Методика была разработана для оценки пер</w:t>
      </w:r>
      <w:r w:rsidRPr="00473342">
        <w:rPr>
          <w:rFonts w:ascii="Arial" w:hAnsi="Arial" w:cs="Arial"/>
          <w:sz w:val="24"/>
          <w:szCs w:val="24"/>
        </w:rPr>
        <w:t>е</w:t>
      </w:r>
      <w:r w:rsidRPr="00473342">
        <w:rPr>
          <w:rFonts w:ascii="Arial" w:hAnsi="Arial" w:cs="Arial"/>
          <w:sz w:val="24"/>
          <w:szCs w:val="24"/>
        </w:rPr>
        <w:t>ключения внимания. Испытуемые должны найти красные и черные числа от 1 до 12 в случайной комбинации в предложенной ими таблице, не запоминая логически. Р</w:t>
      </w:r>
      <w:r w:rsidRPr="00473342">
        <w:rPr>
          <w:rFonts w:ascii="Arial" w:hAnsi="Arial" w:cs="Arial"/>
          <w:sz w:val="24"/>
          <w:szCs w:val="24"/>
        </w:rPr>
        <w:t>е</w:t>
      </w:r>
      <w:r w:rsidRPr="00473342">
        <w:rPr>
          <w:rFonts w:ascii="Arial" w:hAnsi="Arial" w:cs="Arial"/>
          <w:sz w:val="24"/>
          <w:szCs w:val="24"/>
        </w:rPr>
        <w:t>бенку предлагается отобразить черные цифры от 1 до 12 в таблице в порядке во</w:t>
      </w:r>
      <w:r w:rsidRPr="00473342">
        <w:rPr>
          <w:rFonts w:ascii="Arial" w:hAnsi="Arial" w:cs="Arial"/>
          <w:sz w:val="24"/>
          <w:szCs w:val="24"/>
        </w:rPr>
        <w:t>з</w:t>
      </w:r>
      <w:r w:rsidRPr="00473342">
        <w:rPr>
          <w:rFonts w:ascii="Arial" w:hAnsi="Arial" w:cs="Arial"/>
          <w:sz w:val="24"/>
          <w:szCs w:val="24"/>
        </w:rPr>
        <w:t>растания (время выполнения T (1) установлено). Затем вам нужно отобразить кра</w:t>
      </w:r>
      <w:r w:rsidRPr="00473342">
        <w:rPr>
          <w:rFonts w:ascii="Arial" w:hAnsi="Arial" w:cs="Arial"/>
          <w:sz w:val="24"/>
          <w:szCs w:val="24"/>
        </w:rPr>
        <w:t>с</w:t>
      </w:r>
      <w:r w:rsidRPr="00473342">
        <w:rPr>
          <w:rFonts w:ascii="Arial" w:hAnsi="Arial" w:cs="Arial"/>
          <w:sz w:val="24"/>
          <w:szCs w:val="24"/>
        </w:rPr>
        <w:t xml:space="preserve">ные числа в порядке убывания от 12 до 1 (время выполнения T (2) фиксировано). Затем ребенка просят поочередно показывать черные цифры в порядке возрастания и красные цифры в порядке убывания (время выполнения T (3) фиксировано). </w:t>
      </w:r>
    </w:p>
    <w:p w14:paraId="307F5BFA" w14:textId="7B890E82" w:rsidR="00473342" w:rsidRPr="00221D56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sz w:val="24"/>
          <w:szCs w:val="24"/>
        </w:rPr>
        <w:t>Методика определения концентрации и распределения внимания. Мы нарис</w:t>
      </w:r>
      <w:r w:rsidRPr="00473342">
        <w:rPr>
          <w:rFonts w:ascii="Arial" w:hAnsi="Arial" w:cs="Arial"/>
          <w:sz w:val="24"/>
          <w:szCs w:val="24"/>
        </w:rPr>
        <w:t>о</w:t>
      </w:r>
      <w:r w:rsidRPr="00473342">
        <w:rPr>
          <w:rFonts w:ascii="Arial" w:hAnsi="Arial" w:cs="Arial"/>
          <w:sz w:val="24"/>
          <w:szCs w:val="24"/>
        </w:rPr>
        <w:t>вали квадрат размером 10x10 ячеек. В эти 100 ячеек было помещено от 16 до 17 различных изображений в произвольном порядке: круг, куб, прямоугольник, тр</w:t>
      </w:r>
      <w:r w:rsidRPr="00473342">
        <w:rPr>
          <w:rFonts w:ascii="Arial" w:hAnsi="Arial" w:cs="Arial"/>
          <w:sz w:val="24"/>
          <w:szCs w:val="24"/>
        </w:rPr>
        <w:t>е</w:t>
      </w:r>
      <w:r w:rsidRPr="00473342">
        <w:rPr>
          <w:rFonts w:ascii="Arial" w:hAnsi="Arial" w:cs="Arial"/>
          <w:sz w:val="24"/>
          <w:szCs w:val="24"/>
        </w:rPr>
        <w:t>угольник, звездочка, цилиндр.</w:t>
      </w:r>
    </w:p>
    <w:p w14:paraId="480A3E11" w14:textId="7D9A6AA9" w:rsidR="008F735B" w:rsidRPr="00221D56" w:rsidRDefault="008F735B" w:rsidP="00221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87D7A6B" w14:textId="7B1BD2F4" w:rsidR="003445FF" w:rsidRDefault="00774031" w:rsidP="003445F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1D56">
        <w:rPr>
          <w:rFonts w:ascii="Arial" w:hAnsi="Arial" w:cs="Arial"/>
          <w:sz w:val="24"/>
          <w:szCs w:val="24"/>
        </w:rPr>
        <w:t>Методика на определение концентрации и распределения внимания. Мы начертили квадрат 10x10 клеток. В эти 100 клеток поместили в произвольном поря</w:t>
      </w:r>
      <w:r w:rsidRPr="00221D56">
        <w:rPr>
          <w:rFonts w:ascii="Arial" w:hAnsi="Arial" w:cs="Arial"/>
          <w:sz w:val="24"/>
          <w:szCs w:val="24"/>
        </w:rPr>
        <w:t>д</w:t>
      </w:r>
      <w:r w:rsidRPr="00221D56">
        <w:rPr>
          <w:rFonts w:ascii="Arial" w:hAnsi="Arial" w:cs="Arial"/>
          <w:sz w:val="24"/>
          <w:szCs w:val="24"/>
        </w:rPr>
        <w:t xml:space="preserve">ке по 16-17 разных изображений: круг, куб, прямоугольник, </w:t>
      </w:r>
      <w:bookmarkStart w:id="2" w:name="_Hlk133012733"/>
      <w:r w:rsidR="003445FF">
        <w:rPr>
          <w:rFonts w:ascii="Arial" w:hAnsi="Arial" w:cs="Arial"/>
          <w:sz w:val="24"/>
          <w:szCs w:val="24"/>
        </w:rPr>
        <w:t xml:space="preserve">треугольник, звездочка, цилиндр. </w:t>
      </w:r>
    </w:p>
    <w:p w14:paraId="20CE1D09" w14:textId="77777777" w:rsidR="003445FF" w:rsidRDefault="003445FF" w:rsidP="00221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37A9049" w14:textId="77777777" w:rsidR="000D6A50" w:rsidRDefault="000D6A50" w:rsidP="0034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FFE1364" w14:textId="77777777" w:rsidR="000D6A50" w:rsidRDefault="000D6A50" w:rsidP="0034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13AB91F" w14:textId="77777777" w:rsidR="000D6A50" w:rsidRDefault="000D6A50" w:rsidP="0034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4DCB347" w14:textId="77777777" w:rsidR="000D6A50" w:rsidRDefault="000D6A50" w:rsidP="0034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1D67C8A" w14:textId="77777777" w:rsidR="000D6A50" w:rsidRDefault="000D6A50" w:rsidP="0034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749A7D" w14:textId="77777777" w:rsidR="000D6A50" w:rsidRDefault="000D6A50" w:rsidP="0034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578C364" w14:textId="77777777" w:rsidR="003445FF" w:rsidRDefault="00221D56" w:rsidP="00344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D56">
        <w:rPr>
          <w:rFonts w:ascii="Arial" w:hAnsi="Arial" w:cs="Arial"/>
          <w:sz w:val="24"/>
          <w:szCs w:val="24"/>
        </w:rPr>
        <w:t>Таблица</w:t>
      </w:r>
      <w:r w:rsidR="00774031" w:rsidRPr="00221D56">
        <w:rPr>
          <w:rFonts w:ascii="Arial" w:hAnsi="Arial" w:cs="Arial"/>
          <w:sz w:val="24"/>
          <w:szCs w:val="24"/>
        </w:rPr>
        <w:t xml:space="preserve"> 1. </w:t>
      </w:r>
    </w:p>
    <w:p w14:paraId="2403C641" w14:textId="61B62FAB" w:rsidR="009373A3" w:rsidRDefault="00774031" w:rsidP="003445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445FF">
        <w:rPr>
          <w:rFonts w:ascii="Arial" w:hAnsi="Arial" w:cs="Arial"/>
          <w:b/>
          <w:sz w:val="24"/>
          <w:szCs w:val="24"/>
        </w:rPr>
        <w:t>Результаты</w:t>
      </w:r>
      <w:r w:rsidR="003445FF">
        <w:rPr>
          <w:rFonts w:ascii="Arial" w:hAnsi="Arial" w:cs="Arial"/>
          <w:b/>
          <w:sz w:val="24"/>
          <w:szCs w:val="24"/>
        </w:rPr>
        <w:t xml:space="preserve"> обследования по  методике</w:t>
      </w:r>
      <w:r w:rsidRPr="003445FF">
        <w:rPr>
          <w:rFonts w:ascii="Arial" w:hAnsi="Arial" w:cs="Arial"/>
          <w:b/>
          <w:sz w:val="24"/>
          <w:szCs w:val="24"/>
        </w:rPr>
        <w:t xml:space="preserve"> «Корректурная проба» в контрольной и экспериме</w:t>
      </w:r>
      <w:r w:rsidR="003445FF">
        <w:rPr>
          <w:rFonts w:ascii="Arial" w:hAnsi="Arial" w:cs="Arial"/>
          <w:b/>
          <w:sz w:val="24"/>
          <w:szCs w:val="24"/>
        </w:rPr>
        <w:t>н</w:t>
      </w:r>
      <w:r w:rsidRPr="003445FF">
        <w:rPr>
          <w:rFonts w:ascii="Arial" w:hAnsi="Arial" w:cs="Arial"/>
          <w:b/>
          <w:sz w:val="24"/>
          <w:szCs w:val="24"/>
        </w:rPr>
        <w:t>тальной группах</w:t>
      </w:r>
      <w:bookmarkEnd w:id="2"/>
      <w:proofErr w:type="gramEnd"/>
    </w:p>
    <w:p w14:paraId="7A7B76E3" w14:textId="1193BD57" w:rsidR="003445FF" w:rsidRPr="003445FF" w:rsidRDefault="00D87E11" w:rsidP="003445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928"/>
        <w:gridCol w:w="1927"/>
        <w:gridCol w:w="1928"/>
        <w:gridCol w:w="1928"/>
        <w:gridCol w:w="1928"/>
      </w:tblGrid>
      <w:tr w:rsidR="00221D56" w:rsidRPr="00221D56" w14:paraId="3678F2D1" w14:textId="77777777" w:rsidTr="00221D56">
        <w:tc>
          <w:tcPr>
            <w:tcW w:w="1925" w:type="dxa"/>
            <w:vMerge w:val="restart"/>
          </w:tcPr>
          <w:p w14:paraId="69CFEC7B" w14:textId="5B1B3535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3851" w:type="dxa"/>
            <w:gridSpan w:val="2"/>
          </w:tcPr>
          <w:p w14:paraId="455C66D3" w14:textId="732DE74E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Контрольная группа</w:t>
            </w:r>
          </w:p>
        </w:tc>
        <w:tc>
          <w:tcPr>
            <w:tcW w:w="3852" w:type="dxa"/>
            <w:gridSpan w:val="2"/>
          </w:tcPr>
          <w:p w14:paraId="599B50D5" w14:textId="76697E5B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Экспериментальная группа</w:t>
            </w:r>
          </w:p>
        </w:tc>
      </w:tr>
      <w:tr w:rsidR="00221D56" w:rsidRPr="00221D56" w14:paraId="79F9D7CC" w14:textId="77777777" w:rsidTr="00221D56">
        <w:tc>
          <w:tcPr>
            <w:tcW w:w="1925" w:type="dxa"/>
            <w:vMerge/>
          </w:tcPr>
          <w:p w14:paraId="590803EE" w14:textId="77777777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38BB0A8" w14:textId="134BF816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Уровень об</w:t>
            </w:r>
            <w:r w:rsidRPr="00221D56">
              <w:rPr>
                <w:rFonts w:ascii="Arial" w:hAnsi="Arial" w:cs="Arial"/>
                <w:sz w:val="24"/>
                <w:szCs w:val="24"/>
              </w:rPr>
              <w:t>ъ</w:t>
            </w:r>
            <w:r w:rsidRPr="00221D56">
              <w:rPr>
                <w:rFonts w:ascii="Arial" w:hAnsi="Arial" w:cs="Arial"/>
                <w:sz w:val="24"/>
                <w:szCs w:val="24"/>
              </w:rPr>
              <w:t>ема внимания</w:t>
            </w:r>
          </w:p>
        </w:tc>
        <w:tc>
          <w:tcPr>
            <w:tcW w:w="1926" w:type="dxa"/>
          </w:tcPr>
          <w:p w14:paraId="4104E5C9" w14:textId="046F89D9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Уровень ко</w:t>
            </w:r>
            <w:r w:rsidRPr="00221D56">
              <w:rPr>
                <w:rFonts w:ascii="Arial" w:hAnsi="Arial" w:cs="Arial"/>
                <w:sz w:val="24"/>
                <w:szCs w:val="24"/>
              </w:rPr>
              <w:t>н</w:t>
            </w:r>
            <w:r w:rsidRPr="00221D56">
              <w:rPr>
                <w:rFonts w:ascii="Arial" w:hAnsi="Arial" w:cs="Arial"/>
                <w:sz w:val="24"/>
                <w:szCs w:val="24"/>
              </w:rPr>
              <w:t xml:space="preserve">центрации </w:t>
            </w:r>
          </w:p>
        </w:tc>
        <w:tc>
          <w:tcPr>
            <w:tcW w:w="1926" w:type="dxa"/>
          </w:tcPr>
          <w:p w14:paraId="73F0382B" w14:textId="067712AB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Уровень об</w:t>
            </w:r>
            <w:r w:rsidRPr="00221D56">
              <w:rPr>
                <w:rFonts w:ascii="Arial" w:hAnsi="Arial" w:cs="Arial"/>
                <w:sz w:val="24"/>
                <w:szCs w:val="24"/>
              </w:rPr>
              <w:t>ъ</w:t>
            </w:r>
            <w:r w:rsidRPr="00221D56">
              <w:rPr>
                <w:rFonts w:ascii="Arial" w:hAnsi="Arial" w:cs="Arial"/>
                <w:sz w:val="24"/>
                <w:szCs w:val="24"/>
              </w:rPr>
              <w:t>ема внимания</w:t>
            </w:r>
          </w:p>
        </w:tc>
        <w:tc>
          <w:tcPr>
            <w:tcW w:w="1926" w:type="dxa"/>
          </w:tcPr>
          <w:p w14:paraId="61A7B5E4" w14:textId="2113EF6F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Уровень ко</w:t>
            </w:r>
            <w:r w:rsidRPr="00221D56">
              <w:rPr>
                <w:rFonts w:ascii="Arial" w:hAnsi="Arial" w:cs="Arial"/>
                <w:sz w:val="24"/>
                <w:szCs w:val="24"/>
              </w:rPr>
              <w:t>н</w:t>
            </w:r>
            <w:r w:rsidRPr="00221D56">
              <w:rPr>
                <w:rFonts w:ascii="Arial" w:hAnsi="Arial" w:cs="Arial"/>
                <w:sz w:val="24"/>
                <w:szCs w:val="24"/>
              </w:rPr>
              <w:t xml:space="preserve">центрации </w:t>
            </w:r>
          </w:p>
        </w:tc>
      </w:tr>
      <w:tr w:rsidR="009373A3" w:rsidRPr="00221D56" w14:paraId="7480D979" w14:textId="77777777" w:rsidTr="00221D56">
        <w:tc>
          <w:tcPr>
            <w:tcW w:w="1925" w:type="dxa"/>
          </w:tcPr>
          <w:p w14:paraId="00D8A380" w14:textId="3DD51D41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 xml:space="preserve">Низкий </w:t>
            </w:r>
          </w:p>
        </w:tc>
        <w:tc>
          <w:tcPr>
            <w:tcW w:w="1925" w:type="dxa"/>
          </w:tcPr>
          <w:p w14:paraId="120518AE" w14:textId="35C714FA" w:rsidR="009373A3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926" w:type="dxa"/>
          </w:tcPr>
          <w:p w14:paraId="68908102" w14:textId="12BCE7A9" w:rsidR="009373A3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926" w:type="dxa"/>
          </w:tcPr>
          <w:p w14:paraId="0AB21F1B" w14:textId="155A8CB9" w:rsidR="009373A3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926" w:type="dxa"/>
          </w:tcPr>
          <w:p w14:paraId="6E6003DB" w14:textId="02AF96BB" w:rsidR="009373A3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9373A3" w:rsidRPr="00221D56" w14:paraId="55552E0E" w14:textId="77777777" w:rsidTr="00221D56">
        <w:tc>
          <w:tcPr>
            <w:tcW w:w="1925" w:type="dxa"/>
          </w:tcPr>
          <w:p w14:paraId="0E23ECF9" w14:textId="33D008C7" w:rsidR="009373A3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Средний </w:t>
            </w:r>
          </w:p>
        </w:tc>
        <w:tc>
          <w:tcPr>
            <w:tcW w:w="1925" w:type="dxa"/>
          </w:tcPr>
          <w:p w14:paraId="1346C33C" w14:textId="4ABD1479" w:rsidR="009373A3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926" w:type="dxa"/>
          </w:tcPr>
          <w:p w14:paraId="1CBC7FCF" w14:textId="603F30EF" w:rsidR="009373A3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926" w:type="dxa"/>
          </w:tcPr>
          <w:p w14:paraId="067FE5B8" w14:textId="1A31F27A" w:rsidR="009373A3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926" w:type="dxa"/>
          </w:tcPr>
          <w:p w14:paraId="739C7C30" w14:textId="28F29D05" w:rsidR="009373A3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9373A3" w:rsidRPr="00221D56" w14:paraId="40F9700A" w14:textId="77777777" w:rsidTr="00221D56">
        <w:tc>
          <w:tcPr>
            <w:tcW w:w="1925" w:type="dxa"/>
          </w:tcPr>
          <w:p w14:paraId="3FD4A93A" w14:textId="4EED7CAE" w:rsidR="009373A3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 xml:space="preserve">Высокий </w:t>
            </w:r>
          </w:p>
        </w:tc>
        <w:tc>
          <w:tcPr>
            <w:tcW w:w="1925" w:type="dxa"/>
          </w:tcPr>
          <w:p w14:paraId="5C6CDD40" w14:textId="2A295DC3" w:rsidR="009373A3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926" w:type="dxa"/>
          </w:tcPr>
          <w:p w14:paraId="5770CF84" w14:textId="7E3D7674" w:rsidR="009373A3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926" w:type="dxa"/>
          </w:tcPr>
          <w:p w14:paraId="1DD5F10B" w14:textId="0A7D88A4" w:rsidR="009373A3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926" w:type="dxa"/>
          </w:tcPr>
          <w:p w14:paraId="338CF0AA" w14:textId="5FDF777E" w:rsidR="009373A3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</w:tbl>
    <w:p w14:paraId="16156DFF" w14:textId="77777777" w:rsidR="009373A3" w:rsidRPr="00221D56" w:rsidRDefault="009373A3" w:rsidP="00221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36A0E5D" w14:textId="17538B7A" w:rsidR="00D87E11" w:rsidRDefault="000D6A50" w:rsidP="00D87E1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2.</w:t>
      </w:r>
    </w:p>
    <w:p w14:paraId="73DFD41A" w14:textId="7938E91A" w:rsidR="00774031" w:rsidRPr="000D6A50" w:rsidRDefault="00774031" w:rsidP="000D6A50">
      <w:pPr>
        <w:jc w:val="center"/>
        <w:rPr>
          <w:rFonts w:ascii="Arial" w:hAnsi="Arial" w:cs="Arial"/>
          <w:b/>
          <w:sz w:val="24"/>
          <w:szCs w:val="24"/>
        </w:rPr>
      </w:pPr>
      <w:r w:rsidRPr="000D6A50">
        <w:rPr>
          <w:rFonts w:ascii="Arial" w:hAnsi="Arial" w:cs="Arial"/>
          <w:b/>
          <w:sz w:val="24"/>
          <w:szCs w:val="24"/>
        </w:rPr>
        <w:t>Результаты тестирования «Красно-черная таблица» в контрольной</w:t>
      </w:r>
      <w:r w:rsidR="000D6A50">
        <w:rPr>
          <w:rFonts w:ascii="Arial" w:hAnsi="Arial" w:cs="Arial"/>
          <w:b/>
          <w:sz w:val="24"/>
          <w:szCs w:val="24"/>
        </w:rPr>
        <w:t xml:space="preserve">                    </w:t>
      </w:r>
      <w:r w:rsidRPr="000D6A50">
        <w:rPr>
          <w:rFonts w:ascii="Arial" w:hAnsi="Arial" w:cs="Arial"/>
          <w:b/>
          <w:sz w:val="24"/>
          <w:szCs w:val="24"/>
        </w:rPr>
        <w:t xml:space="preserve"> и экспериментальной группах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3189"/>
        <w:gridCol w:w="3222"/>
        <w:gridCol w:w="3228"/>
      </w:tblGrid>
      <w:tr w:rsidR="00221D56" w:rsidRPr="00221D56" w14:paraId="34641B8B" w14:textId="77777777" w:rsidTr="00221D56">
        <w:tc>
          <w:tcPr>
            <w:tcW w:w="2450" w:type="dxa"/>
          </w:tcPr>
          <w:p w14:paraId="2AE53D51" w14:textId="0F733565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2475" w:type="dxa"/>
          </w:tcPr>
          <w:p w14:paraId="1D9F94EC" w14:textId="73A61A75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Контрольная группа</w:t>
            </w:r>
          </w:p>
        </w:tc>
        <w:tc>
          <w:tcPr>
            <w:tcW w:w="2475" w:type="dxa"/>
          </w:tcPr>
          <w:p w14:paraId="0E20E0AD" w14:textId="61AB9858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Экспериментальная гру</w:t>
            </w:r>
            <w:r w:rsidRPr="00221D56">
              <w:rPr>
                <w:rFonts w:ascii="Arial" w:hAnsi="Arial" w:cs="Arial"/>
                <w:sz w:val="24"/>
                <w:szCs w:val="24"/>
              </w:rPr>
              <w:t>п</w:t>
            </w:r>
            <w:r w:rsidRPr="00221D56">
              <w:rPr>
                <w:rFonts w:ascii="Arial" w:hAnsi="Arial" w:cs="Arial"/>
                <w:sz w:val="24"/>
                <w:szCs w:val="24"/>
              </w:rPr>
              <w:t>па</w:t>
            </w:r>
          </w:p>
        </w:tc>
      </w:tr>
      <w:tr w:rsidR="00221D56" w:rsidRPr="00221D56" w14:paraId="78D5D254" w14:textId="77777777" w:rsidTr="00221D56">
        <w:tc>
          <w:tcPr>
            <w:tcW w:w="2450" w:type="dxa"/>
          </w:tcPr>
          <w:p w14:paraId="6EA2BE93" w14:textId="51D41930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 xml:space="preserve">Низкий </w:t>
            </w:r>
          </w:p>
        </w:tc>
        <w:tc>
          <w:tcPr>
            <w:tcW w:w="2475" w:type="dxa"/>
          </w:tcPr>
          <w:p w14:paraId="41CBAE38" w14:textId="386D37B0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2475" w:type="dxa"/>
          </w:tcPr>
          <w:p w14:paraId="3DE78232" w14:textId="43BC5DE1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221D56" w:rsidRPr="00221D56" w14:paraId="6CAD579B" w14:textId="77777777" w:rsidTr="00221D56">
        <w:tc>
          <w:tcPr>
            <w:tcW w:w="2450" w:type="dxa"/>
          </w:tcPr>
          <w:p w14:paraId="6FD80659" w14:textId="50D73ACD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 xml:space="preserve">Средний </w:t>
            </w:r>
          </w:p>
        </w:tc>
        <w:tc>
          <w:tcPr>
            <w:tcW w:w="2475" w:type="dxa"/>
          </w:tcPr>
          <w:p w14:paraId="3DF2CE70" w14:textId="75C69ED8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  <w:tc>
          <w:tcPr>
            <w:tcW w:w="2475" w:type="dxa"/>
          </w:tcPr>
          <w:p w14:paraId="26E66426" w14:textId="75D89C7E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221D56" w:rsidRPr="00221D56" w14:paraId="67E76E88" w14:textId="77777777" w:rsidTr="00221D56">
        <w:tc>
          <w:tcPr>
            <w:tcW w:w="2450" w:type="dxa"/>
          </w:tcPr>
          <w:p w14:paraId="3329E9A8" w14:textId="348833DE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 xml:space="preserve">Высокий </w:t>
            </w:r>
          </w:p>
        </w:tc>
        <w:tc>
          <w:tcPr>
            <w:tcW w:w="2475" w:type="dxa"/>
          </w:tcPr>
          <w:p w14:paraId="69F5A5CD" w14:textId="289BD86C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2475" w:type="dxa"/>
          </w:tcPr>
          <w:p w14:paraId="0FE6862A" w14:textId="03832E94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14:paraId="3AAD2A35" w14:textId="77777777" w:rsidR="00221D56" w:rsidRDefault="00221D56" w:rsidP="00221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B1A72B3" w14:textId="388C9B2D" w:rsidR="000D6A50" w:rsidRDefault="000D6A50" w:rsidP="000D6A5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3.</w:t>
      </w:r>
    </w:p>
    <w:p w14:paraId="6D7312C1" w14:textId="4F98EB6D" w:rsidR="00774031" w:rsidRPr="000D6A50" w:rsidRDefault="00774031" w:rsidP="000D6A50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21D5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6A50">
        <w:rPr>
          <w:rFonts w:ascii="Arial" w:hAnsi="Arial" w:cs="Arial"/>
          <w:b/>
          <w:sz w:val="24"/>
          <w:szCs w:val="24"/>
        </w:rPr>
        <w:t>Результаты методики на определение концентрации и распределения внимания в контрольной и экспериментальной группах</w:t>
      </w:r>
      <w:proofErr w:type="gramEnd"/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433"/>
        <w:gridCol w:w="1843"/>
        <w:gridCol w:w="2260"/>
        <w:gridCol w:w="1843"/>
        <w:gridCol w:w="2260"/>
      </w:tblGrid>
      <w:tr w:rsidR="00221D56" w:rsidRPr="00221D56" w14:paraId="397FE2A5" w14:textId="77777777" w:rsidTr="00221D56">
        <w:tc>
          <w:tcPr>
            <w:tcW w:w="1925" w:type="dxa"/>
            <w:vMerge w:val="restart"/>
          </w:tcPr>
          <w:p w14:paraId="06AE63DE" w14:textId="77777777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Уровень</w:t>
            </w:r>
          </w:p>
        </w:tc>
        <w:tc>
          <w:tcPr>
            <w:tcW w:w="3851" w:type="dxa"/>
            <w:gridSpan w:val="2"/>
          </w:tcPr>
          <w:p w14:paraId="6B39E1B6" w14:textId="77777777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Контрольная группа</w:t>
            </w:r>
          </w:p>
        </w:tc>
        <w:tc>
          <w:tcPr>
            <w:tcW w:w="3852" w:type="dxa"/>
            <w:gridSpan w:val="2"/>
          </w:tcPr>
          <w:p w14:paraId="2694E773" w14:textId="77777777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Экспериментальная группа</w:t>
            </w:r>
          </w:p>
        </w:tc>
      </w:tr>
      <w:tr w:rsidR="00221D56" w:rsidRPr="00221D56" w14:paraId="36C98A19" w14:textId="77777777" w:rsidTr="00221D56">
        <w:tc>
          <w:tcPr>
            <w:tcW w:w="1925" w:type="dxa"/>
            <w:vMerge/>
          </w:tcPr>
          <w:p w14:paraId="7A26B2CC" w14:textId="77777777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9A63AAA" w14:textId="6BCC838E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Концентрация внимания</w:t>
            </w:r>
          </w:p>
        </w:tc>
        <w:tc>
          <w:tcPr>
            <w:tcW w:w="1926" w:type="dxa"/>
          </w:tcPr>
          <w:p w14:paraId="39255DA8" w14:textId="655CB372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 xml:space="preserve">Переключаемость внимания </w:t>
            </w:r>
          </w:p>
        </w:tc>
        <w:tc>
          <w:tcPr>
            <w:tcW w:w="1926" w:type="dxa"/>
          </w:tcPr>
          <w:p w14:paraId="6986BDF6" w14:textId="0B83808E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Концентрация внимания</w:t>
            </w:r>
          </w:p>
        </w:tc>
        <w:tc>
          <w:tcPr>
            <w:tcW w:w="1926" w:type="dxa"/>
          </w:tcPr>
          <w:p w14:paraId="71326E97" w14:textId="240C6818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 xml:space="preserve">Переключаемость внимания </w:t>
            </w:r>
          </w:p>
        </w:tc>
      </w:tr>
      <w:tr w:rsidR="00221D56" w:rsidRPr="00221D56" w14:paraId="29694436" w14:textId="77777777" w:rsidTr="00221D56">
        <w:tc>
          <w:tcPr>
            <w:tcW w:w="1925" w:type="dxa"/>
          </w:tcPr>
          <w:p w14:paraId="6CC3A2A4" w14:textId="77777777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 xml:space="preserve">Низкий </w:t>
            </w:r>
          </w:p>
        </w:tc>
        <w:tc>
          <w:tcPr>
            <w:tcW w:w="1925" w:type="dxa"/>
          </w:tcPr>
          <w:p w14:paraId="28436B4F" w14:textId="0708BA89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926" w:type="dxa"/>
          </w:tcPr>
          <w:p w14:paraId="3D7887BF" w14:textId="3FE42ABD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926" w:type="dxa"/>
          </w:tcPr>
          <w:p w14:paraId="53FC8041" w14:textId="7D441994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926" w:type="dxa"/>
          </w:tcPr>
          <w:p w14:paraId="18D11D99" w14:textId="1F8D2511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221D56" w:rsidRPr="00221D56" w14:paraId="309FB382" w14:textId="77777777" w:rsidTr="00221D56">
        <w:tc>
          <w:tcPr>
            <w:tcW w:w="1925" w:type="dxa"/>
          </w:tcPr>
          <w:p w14:paraId="466A85FC" w14:textId="77777777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 xml:space="preserve">Средний </w:t>
            </w:r>
          </w:p>
        </w:tc>
        <w:tc>
          <w:tcPr>
            <w:tcW w:w="1925" w:type="dxa"/>
          </w:tcPr>
          <w:p w14:paraId="7FA3017D" w14:textId="2383085D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926" w:type="dxa"/>
          </w:tcPr>
          <w:p w14:paraId="2B7D1CA9" w14:textId="17195B86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926" w:type="dxa"/>
          </w:tcPr>
          <w:p w14:paraId="79C149CC" w14:textId="08C21FF0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  <w:tc>
          <w:tcPr>
            <w:tcW w:w="1926" w:type="dxa"/>
          </w:tcPr>
          <w:p w14:paraId="0738FF1D" w14:textId="2EC274FE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221D56" w:rsidRPr="00221D56" w14:paraId="5655E902" w14:textId="77777777" w:rsidTr="00221D56">
        <w:tc>
          <w:tcPr>
            <w:tcW w:w="1925" w:type="dxa"/>
          </w:tcPr>
          <w:p w14:paraId="79B65000" w14:textId="77777777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 xml:space="preserve">Высокий </w:t>
            </w:r>
          </w:p>
        </w:tc>
        <w:tc>
          <w:tcPr>
            <w:tcW w:w="1925" w:type="dxa"/>
          </w:tcPr>
          <w:p w14:paraId="6227FEAB" w14:textId="0C1BB546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926" w:type="dxa"/>
          </w:tcPr>
          <w:p w14:paraId="3361CAE7" w14:textId="246658EB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926" w:type="dxa"/>
          </w:tcPr>
          <w:p w14:paraId="49B1BF28" w14:textId="6171E7CA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926" w:type="dxa"/>
          </w:tcPr>
          <w:p w14:paraId="42FF470F" w14:textId="337F355F" w:rsidR="00221D56" w:rsidRPr="00221D56" w:rsidRDefault="00221D56" w:rsidP="00221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56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</w:tbl>
    <w:p w14:paraId="198E6466" w14:textId="77777777" w:rsidR="00221D56" w:rsidRPr="00221D56" w:rsidRDefault="00221D56" w:rsidP="00221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8683355" w14:textId="38107BFD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sz w:val="24"/>
          <w:szCs w:val="24"/>
        </w:rPr>
        <w:t xml:space="preserve">Проанализировав данные первичной диагностики, мы отмечаем, что у детей преобладает среднее развитие произвольного внимания. </w:t>
      </w:r>
    </w:p>
    <w:p w14:paraId="2085F569" w14:textId="77777777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sz w:val="24"/>
          <w:szCs w:val="24"/>
        </w:rPr>
        <w:t xml:space="preserve"> В ходе исследования мы рекомендуем серию дидактических игр для улучш</w:t>
      </w:r>
      <w:r w:rsidRPr="00473342">
        <w:rPr>
          <w:rFonts w:ascii="Arial" w:hAnsi="Arial" w:cs="Arial"/>
          <w:sz w:val="24"/>
          <w:szCs w:val="24"/>
        </w:rPr>
        <w:t>е</w:t>
      </w:r>
      <w:r w:rsidRPr="00473342">
        <w:rPr>
          <w:rFonts w:ascii="Arial" w:hAnsi="Arial" w:cs="Arial"/>
          <w:sz w:val="24"/>
          <w:szCs w:val="24"/>
        </w:rPr>
        <w:t>ния развития произвольного внимания с целью улучшения его таких свойств, как с</w:t>
      </w:r>
      <w:r w:rsidRPr="00473342">
        <w:rPr>
          <w:rFonts w:ascii="Arial" w:hAnsi="Arial" w:cs="Arial"/>
          <w:sz w:val="24"/>
          <w:szCs w:val="24"/>
        </w:rPr>
        <w:t>о</w:t>
      </w:r>
      <w:r w:rsidRPr="00473342">
        <w:rPr>
          <w:rFonts w:ascii="Arial" w:hAnsi="Arial" w:cs="Arial"/>
          <w:sz w:val="24"/>
          <w:szCs w:val="24"/>
        </w:rPr>
        <w:t>средоточенность, стабильность и сосредоточенность.</w:t>
      </w:r>
    </w:p>
    <w:p w14:paraId="2990BD68" w14:textId="704B031A" w:rsidR="00473342" w:rsidRPr="00473342" w:rsidRDefault="00473342" w:rsidP="00473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2">
        <w:rPr>
          <w:rFonts w:ascii="Arial" w:hAnsi="Arial" w:cs="Arial"/>
          <w:b/>
          <w:sz w:val="24"/>
          <w:szCs w:val="24"/>
        </w:rPr>
        <w:t>Заключение.</w:t>
      </w:r>
      <w:r>
        <w:rPr>
          <w:rFonts w:ascii="Arial" w:hAnsi="Arial" w:cs="Arial"/>
          <w:sz w:val="24"/>
          <w:szCs w:val="24"/>
        </w:rPr>
        <w:t xml:space="preserve"> </w:t>
      </w:r>
      <w:r w:rsidRPr="00473342">
        <w:rPr>
          <w:rFonts w:ascii="Arial" w:hAnsi="Arial" w:cs="Arial"/>
          <w:sz w:val="24"/>
          <w:szCs w:val="24"/>
        </w:rPr>
        <w:t>Мы считаем, что игры с правилами имеют ряд особенностей, к</w:t>
      </w:r>
      <w:r w:rsidRPr="00473342">
        <w:rPr>
          <w:rFonts w:ascii="Arial" w:hAnsi="Arial" w:cs="Arial"/>
          <w:sz w:val="24"/>
          <w:szCs w:val="24"/>
        </w:rPr>
        <w:t>о</w:t>
      </w:r>
      <w:r w:rsidRPr="00473342">
        <w:rPr>
          <w:rFonts w:ascii="Arial" w:hAnsi="Arial" w:cs="Arial"/>
          <w:sz w:val="24"/>
          <w:szCs w:val="24"/>
        </w:rPr>
        <w:t>торые отличают их от других видов игр. Важнейшим отличительным признаком я</w:t>
      </w:r>
      <w:r w:rsidRPr="00473342">
        <w:rPr>
          <w:rFonts w:ascii="Arial" w:hAnsi="Arial" w:cs="Arial"/>
          <w:sz w:val="24"/>
          <w:szCs w:val="24"/>
        </w:rPr>
        <w:t>в</w:t>
      </w:r>
      <w:r w:rsidRPr="00473342">
        <w:rPr>
          <w:rFonts w:ascii="Arial" w:hAnsi="Arial" w:cs="Arial"/>
          <w:sz w:val="24"/>
          <w:szCs w:val="24"/>
        </w:rPr>
        <w:t>ляется наличие в игре специального подготовительного этапа, который включает в себя объяснение правил всем участникам. Правила игры побуждают ребенка акти</w:t>
      </w:r>
      <w:r w:rsidRPr="00473342">
        <w:rPr>
          <w:rFonts w:ascii="Arial" w:hAnsi="Arial" w:cs="Arial"/>
          <w:sz w:val="24"/>
          <w:szCs w:val="24"/>
        </w:rPr>
        <w:t>в</w:t>
      </w:r>
      <w:r w:rsidRPr="00473342">
        <w:rPr>
          <w:rFonts w:ascii="Arial" w:hAnsi="Arial" w:cs="Arial"/>
          <w:sz w:val="24"/>
          <w:szCs w:val="24"/>
        </w:rPr>
        <w:t>но действовать с развитием внимания, быстро реагировать на различные игровые ситуации и конце</w:t>
      </w:r>
      <w:r w:rsidRPr="00473342">
        <w:rPr>
          <w:rFonts w:ascii="Arial" w:hAnsi="Arial" w:cs="Arial"/>
          <w:sz w:val="24"/>
          <w:szCs w:val="24"/>
        </w:rPr>
        <w:t>н</w:t>
      </w:r>
      <w:r w:rsidRPr="00473342">
        <w:rPr>
          <w:rFonts w:ascii="Arial" w:hAnsi="Arial" w:cs="Arial"/>
          <w:sz w:val="24"/>
          <w:szCs w:val="24"/>
        </w:rPr>
        <w:t>трироваться на соблюдении правил во время взаимодействия.</w:t>
      </w:r>
    </w:p>
    <w:p w14:paraId="4AC89340" w14:textId="20C51BDA" w:rsidR="008F735B" w:rsidRPr="00221D56" w:rsidRDefault="008F735B" w:rsidP="00221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4CA3E9B" w14:textId="0EB8CE9F" w:rsidR="00774031" w:rsidRDefault="00221D56" w:rsidP="00221D5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1D56">
        <w:rPr>
          <w:rFonts w:ascii="Arial" w:hAnsi="Arial" w:cs="Arial"/>
          <w:b/>
          <w:bCs/>
          <w:sz w:val="24"/>
          <w:szCs w:val="24"/>
        </w:rPr>
        <w:t>С</w:t>
      </w:r>
      <w:r w:rsidR="00815094">
        <w:rPr>
          <w:rFonts w:ascii="Arial" w:hAnsi="Arial" w:cs="Arial"/>
          <w:b/>
          <w:bCs/>
          <w:sz w:val="24"/>
          <w:szCs w:val="24"/>
        </w:rPr>
        <w:t xml:space="preserve">писок использованной </w:t>
      </w:r>
      <w:r w:rsidR="00774031" w:rsidRPr="00221D56">
        <w:rPr>
          <w:rFonts w:ascii="Arial" w:hAnsi="Arial" w:cs="Arial"/>
          <w:b/>
          <w:bCs/>
          <w:sz w:val="24"/>
          <w:szCs w:val="24"/>
        </w:rPr>
        <w:t xml:space="preserve"> литературы</w:t>
      </w:r>
    </w:p>
    <w:p w14:paraId="607402B6" w14:textId="77777777" w:rsidR="00AB218D" w:rsidRPr="00221D56" w:rsidRDefault="00AB218D" w:rsidP="00221D5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7D64A2" w14:textId="32BDB490" w:rsidR="00774031" w:rsidRPr="00221D56" w:rsidRDefault="00774031" w:rsidP="00221D56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21D56">
        <w:rPr>
          <w:rFonts w:ascii="Arial" w:hAnsi="Arial" w:cs="Arial"/>
          <w:sz w:val="24"/>
          <w:szCs w:val="24"/>
        </w:rPr>
        <w:t xml:space="preserve">Выготский Л.С. Развитие высших форм внимания в детском возрасте /Л.С. Выготский// Хрестоматия по вниманию / Под ред. А.Н. Леонтьева, А.А. </w:t>
      </w:r>
      <w:proofErr w:type="spellStart"/>
      <w:r w:rsidRPr="00221D56">
        <w:rPr>
          <w:rFonts w:ascii="Arial" w:hAnsi="Arial" w:cs="Arial"/>
          <w:sz w:val="24"/>
          <w:szCs w:val="24"/>
        </w:rPr>
        <w:t>Пузырея</w:t>
      </w:r>
      <w:proofErr w:type="spellEnd"/>
      <w:r w:rsidRPr="00221D56">
        <w:rPr>
          <w:rFonts w:ascii="Arial" w:hAnsi="Arial" w:cs="Arial"/>
          <w:sz w:val="24"/>
          <w:szCs w:val="24"/>
        </w:rPr>
        <w:t>, В.Я. Романова. - М., 2000. - С. 184-219.</w:t>
      </w:r>
    </w:p>
    <w:p w14:paraId="32C4BCA6" w14:textId="6F7A5E8B" w:rsidR="00774031" w:rsidRPr="00221D56" w:rsidRDefault="00774031" w:rsidP="00221D56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21D56">
        <w:rPr>
          <w:rFonts w:ascii="Arial" w:hAnsi="Arial" w:cs="Arial"/>
          <w:sz w:val="24"/>
          <w:szCs w:val="24"/>
        </w:rPr>
        <w:t>Добрынин Н.Ф. О теории и воспитании внимания /Н.Ф. Добрынин. // Хрест</w:t>
      </w:r>
      <w:r w:rsidRPr="00221D56">
        <w:rPr>
          <w:rFonts w:ascii="Arial" w:hAnsi="Arial" w:cs="Arial"/>
          <w:sz w:val="24"/>
          <w:szCs w:val="24"/>
        </w:rPr>
        <w:t>о</w:t>
      </w:r>
      <w:r w:rsidRPr="00221D56">
        <w:rPr>
          <w:rFonts w:ascii="Arial" w:hAnsi="Arial" w:cs="Arial"/>
          <w:sz w:val="24"/>
          <w:szCs w:val="24"/>
        </w:rPr>
        <w:t>матия по вниманию</w:t>
      </w:r>
      <w:proofErr w:type="gramStart"/>
      <w:r w:rsidRPr="00221D56">
        <w:rPr>
          <w:rFonts w:ascii="Arial" w:hAnsi="Arial" w:cs="Arial"/>
          <w:sz w:val="24"/>
          <w:szCs w:val="24"/>
        </w:rPr>
        <w:t xml:space="preserve"> / П</w:t>
      </w:r>
      <w:proofErr w:type="gramEnd"/>
      <w:r w:rsidRPr="00221D56">
        <w:rPr>
          <w:rFonts w:ascii="Arial" w:hAnsi="Arial" w:cs="Arial"/>
          <w:sz w:val="24"/>
          <w:szCs w:val="24"/>
        </w:rPr>
        <w:t xml:space="preserve">од ред. А.Н. Леонтьева, А.А. </w:t>
      </w:r>
      <w:proofErr w:type="spellStart"/>
      <w:r w:rsidRPr="00221D56">
        <w:rPr>
          <w:rFonts w:ascii="Arial" w:hAnsi="Arial" w:cs="Arial"/>
          <w:sz w:val="24"/>
          <w:szCs w:val="24"/>
        </w:rPr>
        <w:t>Пузырея</w:t>
      </w:r>
      <w:proofErr w:type="spellEnd"/>
      <w:r w:rsidRPr="00221D56">
        <w:rPr>
          <w:rFonts w:ascii="Arial" w:hAnsi="Arial" w:cs="Arial"/>
          <w:sz w:val="24"/>
          <w:szCs w:val="24"/>
        </w:rPr>
        <w:t>, В.Я. Романова. - М., 1976. - С. 243-259.</w:t>
      </w:r>
    </w:p>
    <w:p w14:paraId="4489F78D" w14:textId="78931B8F" w:rsidR="00774031" w:rsidRPr="00221D56" w:rsidRDefault="00774031" w:rsidP="00221D56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21D56">
        <w:rPr>
          <w:rFonts w:ascii="Arial" w:hAnsi="Arial" w:cs="Arial"/>
          <w:sz w:val="24"/>
          <w:szCs w:val="24"/>
        </w:rPr>
        <w:t>Запорожец А.В. Игра и ее роль в развитии ребенка дошкольного возраста /А.В. Запорожец, Т.А Маркова</w:t>
      </w:r>
      <w:proofErr w:type="gramStart"/>
      <w:r w:rsidRPr="00221D56">
        <w:rPr>
          <w:rFonts w:ascii="Arial" w:hAnsi="Arial" w:cs="Arial"/>
          <w:sz w:val="24"/>
          <w:szCs w:val="24"/>
        </w:rPr>
        <w:t xml:space="preserve">. -- </w:t>
      </w:r>
      <w:proofErr w:type="gramEnd"/>
      <w:r w:rsidRPr="00221D56">
        <w:rPr>
          <w:rFonts w:ascii="Arial" w:hAnsi="Arial" w:cs="Arial"/>
          <w:sz w:val="24"/>
          <w:szCs w:val="24"/>
        </w:rPr>
        <w:t>М.: Просвещение, 2009. - 198 с.</w:t>
      </w:r>
    </w:p>
    <w:p w14:paraId="3E954339" w14:textId="62DB59F0" w:rsidR="00774031" w:rsidRPr="00221D56" w:rsidRDefault="00774031" w:rsidP="00221D56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21D56">
        <w:rPr>
          <w:rFonts w:ascii="Arial" w:hAnsi="Arial" w:cs="Arial"/>
          <w:sz w:val="24"/>
          <w:szCs w:val="24"/>
        </w:rPr>
        <w:t xml:space="preserve">Осипова А.А. Диагностика и коррекция внимания: программа для детей 5-9 лет /А.А. Осипова, Л.И. </w:t>
      </w:r>
      <w:proofErr w:type="spellStart"/>
      <w:r w:rsidRPr="00221D56">
        <w:rPr>
          <w:rFonts w:ascii="Arial" w:hAnsi="Arial" w:cs="Arial"/>
          <w:sz w:val="24"/>
          <w:szCs w:val="24"/>
        </w:rPr>
        <w:t>Малашинская</w:t>
      </w:r>
      <w:proofErr w:type="spellEnd"/>
      <w:r w:rsidRPr="00221D56">
        <w:rPr>
          <w:rFonts w:ascii="Arial" w:hAnsi="Arial" w:cs="Arial"/>
          <w:sz w:val="24"/>
          <w:szCs w:val="24"/>
        </w:rPr>
        <w:t>. - М.: ТЦ Сфера, 2004. -</w:t>
      </w:r>
      <w:r w:rsidR="00815094">
        <w:rPr>
          <w:rFonts w:ascii="Arial" w:hAnsi="Arial" w:cs="Arial"/>
          <w:sz w:val="24"/>
          <w:szCs w:val="24"/>
        </w:rPr>
        <w:t xml:space="preserve"> </w:t>
      </w:r>
      <w:r w:rsidRPr="00221D56">
        <w:rPr>
          <w:rFonts w:ascii="Arial" w:hAnsi="Arial" w:cs="Arial"/>
          <w:sz w:val="24"/>
          <w:szCs w:val="24"/>
        </w:rPr>
        <w:t>104 с.</w:t>
      </w:r>
    </w:p>
    <w:p w14:paraId="23F5A5D0" w14:textId="14164486" w:rsidR="00774031" w:rsidRPr="00221D56" w:rsidRDefault="00774031" w:rsidP="00221D56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21D56">
        <w:rPr>
          <w:rFonts w:ascii="Arial" w:hAnsi="Arial" w:cs="Arial"/>
          <w:sz w:val="24"/>
          <w:szCs w:val="24"/>
        </w:rPr>
        <w:t>Петухова Г.В. Развитие произвольного внимания у детей дошкольного во</w:t>
      </w:r>
      <w:r w:rsidRPr="00221D56">
        <w:rPr>
          <w:rFonts w:ascii="Arial" w:hAnsi="Arial" w:cs="Arial"/>
          <w:sz w:val="24"/>
          <w:szCs w:val="24"/>
        </w:rPr>
        <w:t>з</w:t>
      </w:r>
      <w:r w:rsidRPr="00221D56">
        <w:rPr>
          <w:rFonts w:ascii="Arial" w:hAnsi="Arial" w:cs="Arial"/>
          <w:sz w:val="24"/>
          <w:szCs w:val="24"/>
        </w:rPr>
        <w:t xml:space="preserve">раста: </w:t>
      </w:r>
      <w:proofErr w:type="spellStart"/>
      <w:r w:rsidRPr="00221D56">
        <w:rPr>
          <w:rFonts w:ascii="Arial" w:hAnsi="Arial" w:cs="Arial"/>
          <w:sz w:val="24"/>
          <w:szCs w:val="24"/>
        </w:rPr>
        <w:t>Автореф</w:t>
      </w:r>
      <w:proofErr w:type="spellEnd"/>
      <w:r w:rsidRPr="00221D56">
        <w:rPr>
          <w:rFonts w:ascii="Arial" w:hAnsi="Arial" w:cs="Arial"/>
          <w:sz w:val="24"/>
          <w:szCs w:val="24"/>
        </w:rPr>
        <w:t xml:space="preserve">. канд. </w:t>
      </w:r>
      <w:proofErr w:type="spellStart"/>
      <w:r w:rsidRPr="00221D56">
        <w:rPr>
          <w:rFonts w:ascii="Arial" w:hAnsi="Arial" w:cs="Arial"/>
          <w:sz w:val="24"/>
          <w:szCs w:val="24"/>
        </w:rPr>
        <w:t>дисс</w:t>
      </w:r>
      <w:proofErr w:type="spellEnd"/>
      <w:r w:rsidRPr="00221D56">
        <w:rPr>
          <w:rFonts w:ascii="Arial" w:hAnsi="Arial" w:cs="Arial"/>
          <w:sz w:val="24"/>
          <w:szCs w:val="24"/>
        </w:rPr>
        <w:t>. /Г.В. Петухова. - М., 2001. -</w:t>
      </w:r>
      <w:r w:rsidR="00815094">
        <w:rPr>
          <w:rFonts w:ascii="Arial" w:hAnsi="Arial" w:cs="Arial"/>
          <w:sz w:val="24"/>
          <w:szCs w:val="24"/>
        </w:rPr>
        <w:t xml:space="preserve"> </w:t>
      </w:r>
      <w:r w:rsidRPr="00221D56">
        <w:rPr>
          <w:rFonts w:ascii="Arial" w:hAnsi="Arial" w:cs="Arial"/>
          <w:sz w:val="24"/>
          <w:szCs w:val="24"/>
        </w:rPr>
        <w:t>32 с.</w:t>
      </w:r>
    </w:p>
    <w:bookmarkEnd w:id="1"/>
    <w:p w14:paraId="034508E8" w14:textId="77777777" w:rsidR="008F735B" w:rsidRPr="00221D56" w:rsidRDefault="008F735B" w:rsidP="00221D5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8F735B" w:rsidRPr="00221D56" w:rsidSect="007740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7D49"/>
    <w:multiLevelType w:val="hybridMultilevel"/>
    <w:tmpl w:val="5046E062"/>
    <w:lvl w:ilvl="0" w:tplc="54C6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F689C"/>
    <w:multiLevelType w:val="hybridMultilevel"/>
    <w:tmpl w:val="F0769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1B5290B"/>
    <w:multiLevelType w:val="hybridMultilevel"/>
    <w:tmpl w:val="889E7804"/>
    <w:lvl w:ilvl="0" w:tplc="DBCEEB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5B"/>
    <w:rsid w:val="000D6A50"/>
    <w:rsid w:val="00221D56"/>
    <w:rsid w:val="00243352"/>
    <w:rsid w:val="00266A83"/>
    <w:rsid w:val="002D2BCC"/>
    <w:rsid w:val="003445FF"/>
    <w:rsid w:val="00436920"/>
    <w:rsid w:val="00473342"/>
    <w:rsid w:val="00774031"/>
    <w:rsid w:val="00815094"/>
    <w:rsid w:val="008F735B"/>
    <w:rsid w:val="009373A3"/>
    <w:rsid w:val="00AB218D"/>
    <w:rsid w:val="00B56E19"/>
    <w:rsid w:val="00C101C4"/>
    <w:rsid w:val="00CD4650"/>
    <w:rsid w:val="00D87E11"/>
    <w:rsid w:val="00E4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4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3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35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F735B"/>
    <w:pPr>
      <w:ind w:left="720"/>
      <w:contextualSpacing/>
    </w:pPr>
  </w:style>
  <w:style w:type="table" w:styleId="a5">
    <w:name w:val="Table Grid"/>
    <w:basedOn w:val="a1"/>
    <w:uiPriority w:val="39"/>
    <w:rsid w:val="0093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3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35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F735B"/>
    <w:pPr>
      <w:ind w:left="720"/>
      <w:contextualSpacing/>
    </w:pPr>
  </w:style>
  <w:style w:type="table" w:styleId="a5">
    <w:name w:val="Table Grid"/>
    <w:basedOn w:val="a1"/>
    <w:uiPriority w:val="39"/>
    <w:rsid w:val="0093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esak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paha</dc:creator>
  <cp:keywords/>
  <dc:description/>
  <cp:lastModifiedBy>Www</cp:lastModifiedBy>
  <cp:revision>10</cp:revision>
  <cp:lastPrinted>2023-10-30T09:13:00Z</cp:lastPrinted>
  <dcterms:created xsi:type="dcterms:W3CDTF">2023-04-21T15:27:00Z</dcterms:created>
  <dcterms:modified xsi:type="dcterms:W3CDTF">2023-10-30T09:28:00Z</dcterms:modified>
</cp:coreProperties>
</file>