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center"/>
      </w:pPr>
      <w:r>
        <w:rPr>
          <w:rFonts w:ascii="Times New Roman" w:hAnsi="Times New Roman" w:cs="Times New Roman" w:eastAsia="Times New Roman"/>
          <w:b/>
          <w:color w:val="000000"/>
          <w:sz w:val="44"/>
        </w:rPr>
        <w:t xml:space="preserve">«Инструменты по формированию математической  грамотности в начальной школе»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right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«Мои ученики будут узнавать новое не от меня. Они будут открывать это новое сами.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right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Моя задача- помочь им раскрыться и развить собственные идеи»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right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И.Г.Песталоцци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         </w:t>
      </w:r>
      <w:r>
        <w:rPr>
          <w:rFonts w:ascii="Times New Roman" w:hAnsi="Times New Roman" w:cs="Times New Roman" w:eastAsia="Times New Roman"/>
          <w:b/>
          <w:color w:val="111115"/>
          <w:sz w:val="28"/>
          <w:highlight w:val="white"/>
          <w:u w:val="single"/>
        </w:rPr>
        <w:t xml:space="preserve">Математическая грамотность младшего школьника как компонент функциональной грамотности трактуется как: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а) </w:t>
      </w:r>
      <w:r>
        <w:rPr>
          <w:rFonts w:ascii="Times New Roman" w:hAnsi="Times New Roman" w:cs="Times New Roman" w:eastAsia="Times New Roman"/>
          <w:b/>
          <w:color w:val="111115"/>
          <w:sz w:val="28"/>
          <w:highlight w:val="white"/>
        </w:rPr>
        <w:t xml:space="preserve">понимание</w:t>
      </w: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 необходимости математических знаний для учения и повседневной жизни; (Для чего, где может пригодиться, где воспользуемся полученными знаниями)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б) </w:t>
      </w:r>
      <w:r>
        <w:rPr>
          <w:rFonts w:ascii="Times New Roman" w:hAnsi="Times New Roman" w:cs="Times New Roman" w:eastAsia="Times New Roman"/>
          <w:b/>
          <w:color w:val="111115"/>
          <w:sz w:val="28"/>
          <w:highlight w:val="white"/>
        </w:rPr>
        <w:t xml:space="preserve">потребность и умение</w:t>
      </w: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 применять математику в повседневных (житейских) ситуациях: Рассчитывать стоимость, массу, протяженность, количество необходимого материала и т.д. находить, анализировать математическую информацию об объектах окружающей действительности.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11115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) способность различать математические объекты, устанавливать математические отношения, зависимости, сравнивать, классифицировать.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11115"/>
          <w:sz w:val="28"/>
          <w:highlight w:val="white"/>
        </w:rPr>
        <w:t xml:space="preserve">г) </w:t>
      </w: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совокупность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      Предмет «Математика» играет важную роль в развитии функционально грамотной личности в начальной школе. Все его содержание направлено на формирование функциональной грамотности и основных компетенций.                                   Математика явля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81818"/>
          <w:sz w:val="28"/>
          <w:u w:val="single"/>
        </w:rPr>
        <w:t xml:space="preserve">В чем же, по-моему мнению, заключается проблемное поле при формировании функциональной грамотности на уроках математики?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Во-первых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, успешное выполнение математических заданий имеет прямую зависимость от уровня читательской компетентности. Если для работы предлагается объемный текст,  учащиеся не могут выделить существенную информацию, вопрос и данные, важные для решения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Во-вторых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, трудность для школьников представляют задания, в которых нужно учитывать много условий. Если информация представлена в косвенном виде или вопрос не слишком стандартный, дети теряются и лишь около 30% обучающихся справляются с такими заданиями. Непривычно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сть и необычность формулировок пугает учащихся.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В-третьих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, учащиеся испытывают проблемы при работе с интегрированными заданиями, в которых нужно применять знаний из нескольких учебных предметов. Они показывают неплохие результаты в заданиях, где нужно проявить знания и предметные умения, и не справляются с задан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иями, в которых эти знания нужно применить.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        Инструментами формирования математической грамотности могут служить: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–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технология проектов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которая позволяет учащимся ориентироваться в разнообразных ситуациях;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–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технология проблемного обучения,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которая развивает у учащихся находчивость, сообразительность, способность находить нестандартные решения;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     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работа с символическим текстом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диаграммами, таблицами, чертежами.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–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игровые технологии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позволяющие поддерживать интерес младших школьников к урокам математики.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Математические компетентности можно формировать через систему задач.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Остановлюсь более подробно на системе задач.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1 группа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задачи, в которых требуется воспроизвести факты и методы, выполнить вычисления;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360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 группа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задачи, в которых требуется установить связи и интегрировать материал из разных областей математики;</w:t>
        <w:br/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3 группа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 </w:t>
      </w:r>
      <w:r>
        <w:rPr>
          <w:rFonts w:ascii="Times New Roman" w:hAnsi="Times New Roman" w:cs="Times New Roman" w:eastAsia="Times New Roman"/>
          <w:color w:val="111115"/>
          <w:sz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практические задачи, связанные с повседневной жизнью, в которых требуется выделить проблему, построить модель решения.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Особая группа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это нестандартные задачи, комбинаторные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111115"/>
          <w:sz w:val="28"/>
        </w:rPr>
        <w:t xml:space="preserve">Ниже представлен ряд работ используемых на уроках математики способствующий развитию функциональной математической грамотности младших школьников, относящихся к задачам 1-ой и 2-ой групп.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1.  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Работа над задачей. Анализ, составление плана решений.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Многие ученики только после повторного анализа осознают план решения задачи. Это путь к выработке твердых знаний по математике.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2. 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Решение задач разными способами.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Мало уделяется внимания решению задач разными способами в основном из-за недостатка времени. Но это умение свидетельствует о достаточно высоком математическом развитии.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3. 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Представление ситуации, описанной в задачи и её моделирование: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а) с помощью отрезков.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Лягушка  встречала  гостей. Лиса  пришла  раньше  Медведя, Волк  позже  Зайца, Медведь  раньше  Зайца, Сорока  позже  Волка.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Кто  пришёл  раньше  всех?  Кто  пришёл  позже  всех? В  каком  порядке  приходили  гости? (обозначь на отрезке)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б) с помощью рисунка.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На грядке сидели 6 мышек. К ним подбежали ещё 3. Кот подкрался и схватил одну. Сколько мышек осталось на грядке?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в) с помощью чертежа.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Обращаю внимание детей на детали, которые нужно обязательно представить, и которые можно опустить.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4. 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Разбивка текста задачи на значимые части.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5. 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Решение задач с недостающими или лишними данными.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Работа над задачей с недостающими и лишними данными воспитывает у детей привычку лучше осмысливать связи между искомым и данными.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Задача: В первом букете ромашки. Это на 12 ромашек больше, чем во втором букете. Сколько ромашек в двух букетах?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6. 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Самостоятельное составление задач учениками.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1) используя слова: больше на несколько, меньше на несколько единиц, в несколько раз больше, в несколько раз меньше;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2) по данному плану ее решения,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3) действиям и ответу;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4) по выражению и т. д.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7. 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Объяснение готового решения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8. Изменение вопроса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У Иры 5 роз, а у Оли на 2 розы меньше. Сколько роз у Оли?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Измени вопрос так, чтобы задача решалась в 2 действия.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9. 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Составление разных выражений к данным задачам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10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. Выбор выражений, которые являются решением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11. 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Выбор способа записи решения задачи (</w:t>
      </w:r>
      <w:r>
        <w:rPr>
          <w:rFonts w:ascii="Times New Roman" w:hAnsi="Times New Roman" w:cs="Times New Roman" w:eastAsia="Times New Roman"/>
          <w:color w:val="111115"/>
          <w:sz w:val="28"/>
        </w:rPr>
        <w:t xml:space="preserve">выражением, уравнением, по действиям, с пояснением, с вопросами)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12. 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Использование приема сравнения задач и их решений..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13. 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Выбор решения из двух предложенных</w:t>
      </w:r>
      <w:r>
        <w:rPr>
          <w:rFonts w:ascii="Times New Roman" w:hAnsi="Times New Roman" w:cs="Times New Roman" w:eastAsia="Times New Roman"/>
          <w:color w:val="111115"/>
          <w:sz w:val="28"/>
        </w:rPr>
        <w:t xml:space="preserve">  (верного и неверного).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14</w:t>
      </w: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. Изменение условия задачи так, чтобы задача решалась другим действием.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15. Закончить решение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16. Составление аналогичной задачи с измененными данными.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1" w:lineRule="atLeast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  <w:u w:val="single"/>
        </w:rPr>
        <w:t xml:space="preserve">17. Составление и решение обратных задач.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Использование разнообразных приемов работы с задачами ведет </w:t>
      </w:r>
      <w:r>
        <w:rPr>
          <w:rFonts w:ascii="Times New Roman" w:hAnsi="Times New Roman" w:cs="Times New Roman" w:eastAsia="Times New Roman"/>
          <w:b/>
          <w:i/>
          <w:color w:val="111115"/>
          <w:sz w:val="28"/>
        </w:rPr>
        <w:t xml:space="preserve">выработке твердых знаний по математике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Особое внимание следует уделить задачам третьего вида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Это сюжетные задачи, связанные с проблемными ситуациями, возникающими в повседневной жизни, которые можно решить математическими средствами — задачи-расчёты: расчет времени выхода в школу, чтобы вовремя приходить, стоимость экскурсионной поездки, если из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вестна стоимость транспорта и количество ребят, стоимость электроэнергии по показаниям счетчика и т. д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Например, в 4 классе, когда освоены математические действия с многозначными числами, ребятам предлагается выполнять расчеты: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Задача 1.</w:t>
      </w: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 Сколько нужно заплатить за электроэнергию, если известны показания счетчиков и цена киловатта электроэнергии).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84"/>
        <w:gridCol w:w="2874"/>
        <w:gridCol w:w="1884"/>
      </w:tblGrid>
      <w:tr>
        <w:trPr/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874" w:type="dxa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1квт= 2руб 91 коп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84" w:type="dxa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181818"/>
                <w:sz w:val="28"/>
              </w:rPr>
              <w:t xml:space="preserve">итог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218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сентябрь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87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 квт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</w:rPr>
              <w:t xml:space="preserve">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218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87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246 квт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</w:rPr>
              <w:t xml:space="preserve">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218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87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312 квт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</w:rPr>
              <w:t xml:space="preserve">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какой месяц семья заплатит больше денег за электроэнергию?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вы думаете почему оплата за энергию разная?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сколько больше рублей  заплатит семья в ноябре, чем в сентябре?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Можно ли электроэнергию экономить? Как?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  <w:u w:val="single"/>
        </w:rPr>
        <w:t xml:space="preserve">Или предложена 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u w:val="single"/>
        </w:rPr>
        <w:t xml:space="preserve">задача 2</w:t>
      </w:r>
      <w:r>
        <w:rPr>
          <w:rFonts w:ascii="Times New Roman" w:hAnsi="Times New Roman" w:cs="Times New Roman" w:eastAsia="Times New Roman"/>
          <w:i/>
          <w:color w:val="000000"/>
          <w:sz w:val="28"/>
          <w:u w:val="single"/>
        </w:rPr>
        <w:t xml:space="preserve">:</w:t>
      </w: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 В семье нужно отметить день рождения младшей сестренки, которой исполнится 6 лет. Нужно вместе с родителями договориться, сколько нужно купить продуктов и украшений. Предлагаются разные наборы напитков, сладостей. Но есть ограничение: можно истрать  1500 </w:t>
      </w: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рублей.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4"/>
        <w:gridCol w:w="4044"/>
        <w:gridCol w:w="3384"/>
      </w:tblGrid>
      <w:tr>
        <w:trPr>
          <w:trHeight w:val="297"/>
        </w:trPr>
        <w:tc>
          <w:tcPr>
            <w:tcW w:w="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товар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цена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97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торт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370 руб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97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напитки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40 руб за бутылку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97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конфеты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490 руб за кг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97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Шарики, гирлянды, свечи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220 руб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97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Фрукты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230 руб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97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Мороженое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60 руб за штуку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10"/>
        </w:trPr>
        <w:tc>
          <w:tcPr>
            <w:tcW w:w="474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404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Реквизиты для игр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384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300 руб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Такие задачи в жизни ребята, наверняка не решали, ведь подобные задачи в жизни решают родители, но ребята приобретают практический опыт, которым реально могут воспользоваться.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Решая подобные задания,  у детей развивается способность 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</w:t>
      </w: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ировать.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Примеры заданий: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Допиши единицы измерений:</w:t>
        <w:br/>
        <w:t xml:space="preserve">площадь школьного пенала прямоугольной формы 180…</w:t>
        <w:br/>
        <w:t xml:space="preserve">длина дорожки 50 ….</w:t>
        <w:br/>
        <w:t xml:space="preserve">площадь кухни 12….</w:t>
        <w:br/>
        <w:t xml:space="preserve">высота окна 145 ….</w:t>
        <w:br/>
        <w:t xml:space="preserve">длина гвоздя 100….</w:t>
        <w:br/>
        <w:t xml:space="preserve">высота дома 16…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рост школьника 1 360 …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3.Задача.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В бутылке лимонада 1 литр. На скольких человек хватит этой газировки, если каждый выпьет по 200 граммовому стакану.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4. Задача.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 «Аркадий Тихонович на даче решил поменять плинтус в комнате на полу. Сколько штук плинтуса ему надо купить, если каждый плинтус имеет длину 2 м. При этом длина комнаты 6 м, а ширина 4 м?».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5. Задача.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В коробке 5 рядов по 4 конфеты в каждом. Сколько всего конфет в коробке?  У меня завтра день рождения, будет 16 человек. Хватит ли одной коробки конфет на всех?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Сюда же относятся и нестандартные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Нестандартные задачи.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При решении таких задач ребенок соотносит суждения о предметах, отвлекаясь от особенностей их наглядных образов, рассуждает, делает выводы. Таким образом, в начальной школе закладываются основы доказательного мышления.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1.У него есть четыре, но если их все отрезать, то у него станет целых восемь. О чем идет речь? Об углах четырехугольника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2.Если в 12 часов ночи идет дождь, то можно ли ожидать, что через 72 часа будет солнечная погода? Нет, так как через 72 часа снова будет полночь.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3.В парке 8 скамеек. Три покрасили. Сколько скамеек стало в парке? Восемь.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4. Термометр показывает плюс 15 градусов. Сколько градусов покажут два таких термометра? 15 градусов.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5.Батон разрезали на три части. Сколько сделали разрезов? Два разреза.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Комбинаторные задачи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комбинаторных задачах идет обучение методу перебора, решение задач с помощью таблиц, схем, схемы-дерева. Кроме того, целенаправленное обучение решению комбинаторных задач способствует развитию такого качества мышления, как вариативность.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Задачи повышенной трудности, логические  задачи.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 Задача №1. Если Лена купит 3альбома, то у неѐ останется 40 рублей. А если бы она захотела купить 5 альбомов, ей не хватило бы 200 рублей. Сколько денег у Лены?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Решение. 1. 5-3=2(аль.) – разница.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2. 40+200=240(руб)- стоят 2 альбома.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3. 240:2=120(руб)- стоит 1 альбом.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4. 120*3+40=400(руб)-было у Лены Ответ: 400 рублей.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Контекстной называют задачу, которая отвечает ряду требований.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Контекстная задача должна опираться на реально имеющийся у учащихся жизненный опыт, представления, знания, взгляды, мнения и т.д.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567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Контекстная задача нестандартна, оригинальна.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567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содержании контекстной задачи должны отражаться математические и нематематические проблемы и их взаимная связь.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567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Задача должна соответствовать программе курса.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567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Контекст задачи может быть представлен в различных формах. Это могут быть  таблицы, графики, текст, диаграммы.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567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Существует математическая модель описанной в задаче ситуации, которая соответствует уровню подготовленности школьника.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567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Сюжет задачи должен развиваться в соответствии с последовательностью поставленных в ней вопросов.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Контексты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2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right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Личная жизнь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Мир человека (повседневные дела: покупки, приготовление пищи, игры, здоровье и др.).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2"/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right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Образование/профессиональная деятельность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Мир профессий (школьная жизнь и трудовая деятельность, включают такие действия, как измерения, подсчеты стоимости, заказ материалов, например, для построения книжных полок в кабинете математики, оплата счетов и др.).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2"/>
        <w:numPr>
          <w:numId w:val="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right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Общественная жизнь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Мир социума (обмен валюты, денежные вклады в банке, прогноз итогов выборов, демография).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2"/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right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Научная деятельность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– Мир науки (рассмотрение теоретических вопросов, например, анализ половозрастных пирамид населения, или решение чисто математических задач, например, применение неравенства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треугольника.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Подходы к подбору и составлению заданий по формированию математической грамотности младших школьников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Предлагать учебные задания, задачи, содержащие проблемные ситуации, разрешаемые средствами математики.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описании ситуации должно быть достаточно информации для решения поставленной проблемы.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Дополнительная информация сообщается в формулировке вопроса.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Содержание задания ориентировано на требования к обязательной математической подготовке (ФГОС НОО, предметные и метапредметные планируемые результаты обучения).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проблемы может быть рассчитано на привлечение жизненного опыта школьника.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Информация предлагается в различном виде (рисунок, текст, таблица и др.). Используются возможности компьютера (построения, заполнение свободных полей, перетаскивания и др.).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Используются возможности разной формы записи ответа (выбор, краткий, развернутый).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Приоритет заданий, решаемых разными способами.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111115"/>
          <w:sz w:val="28"/>
        </w:rPr>
        <w:t xml:space="preserve">     Систематическое использование на уроках математики специальных задач и заданий, приемов и технологий, направленных на развитие логического мышления, формирует и развивает функциональную грамотность младших школьников, которая позволяет более уверенно </w:t>
      </w:r>
      <w:r>
        <w:rPr>
          <w:rFonts w:ascii="Times New Roman" w:hAnsi="Times New Roman" w:cs="Times New Roman" w:eastAsia="Times New Roman"/>
          <w:color w:val="111115"/>
          <w:sz w:val="28"/>
        </w:rPr>
        <w:t xml:space="preserve">ориентироваться в простейших закономерностях окружающей их действительности и активнее использовать математические знания в повседневной жизни. Наша задача – воспитать такую личность.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sz w:val="32"/>
        </w:rP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Формула функциональной грамотности</w:t>
      </w:r>
      <w:r>
        <w:rPr>
          <w:sz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sz w:val="32"/>
        </w:rPr>
      </w:pPr>
      <w:r>
        <w:rPr>
          <w:rFonts w:ascii="Times New Roman" w:hAnsi="Times New Roman" w:cs="Times New Roman" w:eastAsia="Times New Roman"/>
          <w:b/>
          <w:color w:val="181818"/>
          <w:sz w:val="32"/>
        </w:rPr>
        <w:t xml:space="preserve"> </w:t>
      </w:r>
      <w:r>
        <w:rPr>
          <w:sz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ОВЛАДЕНИЕ = УСВОЕНИЕ + ПРИМЕНЕНИЕ НА ПРАКТИКЕ</w:t>
      </w:r>
    </w:p>
    <w:p/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ascii="Symbol" w:hAnsi="Symbol" w:cs="Symbol" w:eastAsia="Symbol" w:hint="default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0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1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2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3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4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5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6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7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ind w:left="720"/>
      <w:contextualSpacing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2024-06-04T07:04:27Z</dcterms:modified>
</cp:coreProperties>
</file>