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center"/>
      </w:pPr>
      <w:r>
        <w:rPr>
          <w:rFonts w:ascii="Times New Roman" w:hAnsi="Times New Roman" w:cs="Times New Roman" w:eastAsia="Times New Roman"/>
          <w:b/>
          <w:color w:val="000000"/>
          <w:sz w:val="44"/>
        </w:rPr>
        <w:t xml:space="preserve">«Инструменты по формированию математической  грамотности в начальной школе»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right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</w:rPr>
        <w:t xml:space="preserve">«Мои ученики будут узнавать новое не от меня. Они будут открывать это новое сами.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right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</w:rPr>
        <w:t xml:space="preserve">Моя задача- помочь им раскрыться и развить собственные идеи»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right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</w:rPr>
        <w:t xml:space="preserve">И.Г.Песталоцци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  <w:highlight w:val="white"/>
        </w:rPr>
        <w:t xml:space="preserve">         </w:t>
      </w:r>
      <w:r>
        <w:rPr>
          <w:rFonts w:ascii="Times New Roman" w:hAnsi="Times New Roman" w:cs="Times New Roman" w:eastAsia="Times New Roman"/>
          <w:b/>
          <w:color w:val="111115"/>
          <w:sz w:val="28"/>
          <w:highlight w:val="white"/>
          <w:u w:val="single"/>
        </w:rPr>
        <w:t xml:space="preserve">Математическая грамотность младшего школьника как компонент функциональной грамотности трактуется как: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  <w:highlight w:val="white"/>
        </w:rPr>
        <w:t xml:space="preserve">а) </w:t>
      </w:r>
      <w:r>
        <w:rPr>
          <w:rFonts w:ascii="Times New Roman" w:hAnsi="Times New Roman" w:cs="Times New Roman" w:eastAsia="Times New Roman"/>
          <w:b/>
          <w:color w:val="111115"/>
          <w:sz w:val="28"/>
          <w:highlight w:val="white"/>
        </w:rPr>
        <w:t xml:space="preserve">понимание</w:t>
      </w:r>
      <w:r>
        <w:rPr>
          <w:rFonts w:ascii="Times New Roman" w:hAnsi="Times New Roman" w:cs="Times New Roman" w:eastAsia="Times New Roman"/>
          <w:color w:val="111115"/>
          <w:sz w:val="28"/>
          <w:highlight w:val="white"/>
        </w:rPr>
        <w:t xml:space="preserve"> необходимости математических знаний для учения и повседневной жизни; (Для чего, где может пригодиться, где воспользуемся полученными знаниями)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  <w:highlight w:val="white"/>
        </w:rPr>
        <w:t xml:space="preserve">б) </w:t>
      </w:r>
      <w:r>
        <w:rPr>
          <w:rFonts w:ascii="Times New Roman" w:hAnsi="Times New Roman" w:cs="Times New Roman" w:eastAsia="Times New Roman"/>
          <w:b/>
          <w:color w:val="111115"/>
          <w:sz w:val="28"/>
          <w:highlight w:val="white"/>
        </w:rPr>
        <w:t xml:space="preserve">потребность и умение</w:t>
      </w:r>
      <w:r>
        <w:rPr>
          <w:rFonts w:ascii="Times New Roman" w:hAnsi="Times New Roman" w:cs="Times New Roman" w:eastAsia="Times New Roman"/>
          <w:color w:val="111115"/>
          <w:sz w:val="28"/>
          <w:highlight w:val="white"/>
        </w:rPr>
        <w:t xml:space="preserve"> применять математику в повседневных (житейских) ситуациях: Рассчитывать стоимость, массу, протяженность, количество необходимого материала и т.д. находить, анализировать математическую информацию об объектах окружающей действительности.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111115"/>
          <w:sz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color w:val="111115"/>
          <w:sz w:val="28"/>
          <w:highlight w:val="white"/>
        </w:rPr>
        <w:t xml:space="preserve">) способность различать математические объекты, устанавливать математические отношения, зависимости, сравнивать, классифицировать.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111115"/>
          <w:sz w:val="28"/>
          <w:highlight w:val="white"/>
        </w:rPr>
        <w:t xml:space="preserve">г) </w:t>
      </w:r>
      <w:r>
        <w:rPr>
          <w:rFonts w:ascii="Times New Roman" w:hAnsi="Times New Roman" w:cs="Times New Roman" w:eastAsia="Times New Roman"/>
          <w:color w:val="111115"/>
          <w:sz w:val="28"/>
          <w:highlight w:val="white"/>
        </w:rPr>
        <w:t xml:space="preserve">совокупность умений: действовать по инструкции (алгоритму), решать учебные задачи, связанные с измерением, вычислениями, упорядочиванием, формулировать суждения с использованием математических терминов, знаков, свойств арифметических действий.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       Предмет «Математика» играет важную роль в развитии функционально грамотной личности в начальной школе. Все его содержание направлено на формирование функциональной грамотности и основных компетенций.                                   Математика явля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ется для младших школьников основой всего учебного процесса, средством развития логического мышления обучающихся, воображения, интеллектуальных и творческих способностей, основным каналом социализации личности.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181818"/>
          <w:sz w:val="28"/>
          <w:u w:val="single"/>
        </w:rPr>
        <w:t xml:space="preserve">В чем же, по-моему мнению, заключается проблемное поле при формировании функциональной грамотности на уроках математики?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181818"/>
          <w:sz w:val="28"/>
        </w:rPr>
        <w:t xml:space="preserve">Во-первых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, успешное выполнение математических заданий имеет прямую зависимость от уровня читательской компетентности. Если для работы предлагается объемный текст,  учащиеся не могут выделить существенную информацию, вопрос и данные, важные для решения задачи.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181818"/>
          <w:sz w:val="28"/>
        </w:rPr>
        <w:t xml:space="preserve">Во-вторых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, трудность для школьников представляют задания, в которых нужно учитывать много условий. Если информация представлена в косвенном виде или вопрос не слишком стандартный, дети теряются и лишь около 30% обучающихся справляются с такими заданиями. Непривычно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сть и необычность формулировок пугает учащихся.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181818"/>
          <w:sz w:val="28"/>
        </w:rPr>
        <w:t xml:space="preserve">В-третьих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, учащиеся испытывают проблемы при работе с интегрированными заданиями, в которых нужно применять знаний из нескольких учебных предметов. Они показывают неплохие результаты в заданиях, где нужно проявить знания и предметные умения, и не справляются с задан</w:t>
      </w:r>
      <w:r>
        <w:rPr>
          <w:rFonts w:ascii="Times New Roman" w:hAnsi="Times New Roman" w:cs="Times New Roman" w:eastAsia="Times New Roman"/>
          <w:color w:val="181818"/>
          <w:sz w:val="28"/>
        </w:rPr>
        <w:t xml:space="preserve">иями, в которых эти знания нужно применить.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</w:rPr>
        <w:t xml:space="preserve">        Инструментами формирования математической грамотности могут служить: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технология проектов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которая позволяет учащимся ориентироваться в разнообразных ситуациях;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технология проблемного обучения,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которая развивает у учащихся находчивость, сообразительность, способность находить нестандартные решения;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     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работа с символическим текстом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 диаграммами, таблицами, чертежами.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–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игровые технологии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позволяющие поддерживать интерес младших школьников к урокам математики.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u w:val="single"/>
        </w:rPr>
        <w:t xml:space="preserve">Математические компетентности можно формировать через систему задач.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</w:rPr>
        <w:t xml:space="preserve">Остановлюсь более подробно на системе задач.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 группа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– задачи, в которых требуется воспроизвести факты и методы, выполнить вычисления;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360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 группа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– задачи, в которых требуется установить связи и интегрировать материал из разных областей математики;</w:t>
        <w:br/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 группа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– </w:t>
      </w:r>
      <w:r>
        <w:rPr>
          <w:rFonts w:ascii="Times New Roman" w:hAnsi="Times New Roman" w:cs="Times New Roman" w:eastAsia="Times New Roman"/>
          <w:color w:val="111115"/>
          <w:sz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практические задачи, связанные с повседневной жизнью, в которых требуется выделить проблему, построить модель решения.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Особая группа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– это нестандартные задачи, комбинаторные задачи.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111115"/>
          <w:sz w:val="28"/>
        </w:rPr>
        <w:t xml:space="preserve">Ниже представлен ряд работ используемых на уроках математики способствующий развитию функциональной математической грамотности младших школьников, относящихся к задачам 1-ой и 2-ой групп.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1.  </w:t>
      </w: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Работа над задачей. Анализ, составление плана решений.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Многие ученики только после повторного анализа осознают план решения задачи. Это путь к выработке твердых знаний по математике.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2. </w:t>
      </w: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Решение задач разными способами.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Мало уделяется внимания решению задач разными способами в основном из-за недостатка времени. Но это умение свидетельствует о достаточно высоком математическом развитии.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3. </w:t>
      </w: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Представление ситуации, описанной в задачи и её моделирование: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а) с помощью отрезков.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Лягушка  встречала  гостей. Лиса  пришла  раньше  Медведя, Волк  позже  Зайца, Медведь  раньше  Зайца, Сорока  позже  Волка.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Кто  пришёл  раньше  всех?  Кто  пришёл  позже  всех? В  каком  порядке  приходили  гости? (обозначь на отрезке)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б) с помощью рисунка.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На грядке сидели 6 мышек. К ним подбежали ещё 3. Кот подкрался и схватил одну. Сколько мышек осталось на грядке?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в) с помощью чертежа.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Обращаю внимание детей на детали, которые нужно обязательно представить, и которые можно опустить.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4. </w:t>
      </w: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Разбивка текста задачи на значимые части.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5. </w:t>
      </w: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Решение задач с недостающими или лишними данными.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Работа над задачей с недостающими и лишними данными воспитывает у детей привычку лучше осмысливать связи между искомым и данными.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Задача: В первом букете ромашки. Это на 12 ромашек больше, чем во втором букете. Сколько ромашек в двух букетах?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6. </w:t>
      </w: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Самостоятельное составление задач учениками.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1) используя слова: больше на несколько, меньше на несколько единиц, в несколько раз больше, в несколько раз меньше;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2) по данному плану ее решения,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3) действиям и ответу;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4) по выражению и т. д.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7. </w:t>
      </w: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Объяснение готового решения задачи.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8. Изменение вопроса задачи.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У Иры 5 роз, а у Оли на 2 розы меньше. Сколько роз у Оли?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Измени вопрос так, чтобы задача решалась в 2 действия.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9. </w:t>
      </w: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Составление разных выражений к данным задачам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10</w:t>
      </w: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. Выбор выражений, которые являются решением задачи.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11. </w:t>
      </w: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Выбор способа записи решения задачи (</w:t>
      </w:r>
      <w:r>
        <w:rPr>
          <w:rFonts w:ascii="Times New Roman" w:hAnsi="Times New Roman" w:cs="Times New Roman" w:eastAsia="Times New Roman"/>
          <w:color w:val="111115"/>
          <w:sz w:val="28"/>
        </w:rPr>
        <w:t xml:space="preserve">выражением, уравнением, по действиям, с пояснением, с вопросами)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12. </w:t>
      </w: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Использование приема сравнения задач и их решений..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13. </w:t>
      </w: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Выбор решения из двух предложенных</w:t>
      </w:r>
      <w:r>
        <w:rPr>
          <w:rFonts w:ascii="Times New Roman" w:hAnsi="Times New Roman" w:cs="Times New Roman" w:eastAsia="Times New Roman"/>
          <w:color w:val="111115"/>
          <w:sz w:val="28"/>
        </w:rPr>
        <w:t xml:space="preserve">  (верного и неверного).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14</w:t>
      </w: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. Изменение условия задачи так, чтобы задача решалась другим действием.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15. Закончить решение задачи.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16. Составление аналогичной задачи с измененными данными.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 w:line="241" w:lineRule="atLeast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  <w:u w:val="single"/>
        </w:rPr>
        <w:t xml:space="preserve">17. Составление и решение обратных задач.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Использование разнообразных приемов работы с задачами ведет </w:t>
      </w:r>
      <w:r>
        <w:rPr>
          <w:rFonts w:ascii="Times New Roman" w:hAnsi="Times New Roman" w:cs="Times New Roman" w:eastAsia="Times New Roman"/>
          <w:b/>
          <w:i/>
          <w:color w:val="111115"/>
          <w:sz w:val="28"/>
        </w:rPr>
        <w:t xml:space="preserve">выработке твердых знаний по математике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Особое внимание следует уделить задачам третьего вида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Это сюжетные задачи, связанные с проблемными ситуациями, возникающими в повседневной жизни, которые можно решить математическими средствами — задачи-расчёты: расчет времени выхода в школу, чтобы вовремя приходить, стоимость экскурсионной поездки, если из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вестна стоимость транспорта и количество ребят, стоимость электроэнергии по показаниям счетчика и т. д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Например, в 4 классе, когда освоены математические действия с многозначными числами, ребятам предлагается выполнять расчеты: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Задача 1.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 Сколько нужно заплатить за электроэнергию, если известны показания счетчиков и цена киловатта электроэнергии).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184"/>
        <w:gridCol w:w="2874"/>
        <w:gridCol w:w="1884"/>
      </w:tblGrid>
      <w:tr>
        <w:trPr/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181818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874" w:type="dxa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1квт= 2руб 91 коп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84" w:type="dxa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181818"/>
                <w:sz w:val="28"/>
              </w:rPr>
              <w:t xml:space="preserve">итог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2184" w:type="dxa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87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123 квт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8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181818"/>
                <w:sz w:val="28"/>
              </w:rPr>
              <w:t xml:space="preserve">?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2184" w:type="dxa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87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246 квт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8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181818"/>
                <w:sz w:val="28"/>
              </w:rPr>
              <w:t xml:space="preserve">?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2184" w:type="dxa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87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312 квт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8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181818"/>
                <w:sz w:val="28"/>
              </w:rPr>
              <w:t xml:space="preserve">?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какой месяц семья заплатит больше денег за электроэнергию?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Как вы думаете почему оплата за энергию разная?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сколько больше рублей  заплатит семья в ноябре, чем в сентябре?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Можно ли электроэнергию экономить? Как?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u w:val="single"/>
        </w:rPr>
        <w:t xml:space="preserve">Или предложена 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u w:val="single"/>
        </w:rPr>
        <w:t xml:space="preserve">задача 2</w:t>
      </w:r>
      <w:r>
        <w:rPr>
          <w:rFonts w:ascii="Times New Roman" w:hAnsi="Times New Roman" w:cs="Times New Roman" w:eastAsia="Times New Roman"/>
          <w:i/>
          <w:color w:val="000000"/>
          <w:sz w:val="28"/>
          <w:u w:val="single"/>
        </w:rPr>
        <w:t xml:space="preserve">: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 В семье нужно отметить день рождения младшей сестренки, которой исполнится 6 лет. Нужно вместе с родителями договориться, сколько нужно купить продуктов и украшений. Предлагаются разные наборы напитков, сладостей. Но есть ограничение: можно истрать  1500 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рублей.</w:t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74"/>
        <w:gridCol w:w="4044"/>
        <w:gridCol w:w="3384"/>
      </w:tblGrid>
      <w:tr>
        <w:trPr>
          <w:trHeight w:val="297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044" w:type="dxa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товар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384" w:type="dxa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цена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297"/>
        </w:trPr>
        <w:tc>
          <w:tcPr>
            <w:tcW w:w="474" w:type="dxa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04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торт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38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370 руб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297"/>
        </w:trPr>
        <w:tc>
          <w:tcPr>
            <w:tcW w:w="474" w:type="dxa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04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напитки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38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40 руб за бутылку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297"/>
        </w:trPr>
        <w:tc>
          <w:tcPr>
            <w:tcW w:w="474" w:type="dxa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04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конфеты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38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490 руб за кг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297"/>
        </w:trPr>
        <w:tc>
          <w:tcPr>
            <w:tcW w:w="474" w:type="dxa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04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Шарики, гирлянды, свечи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38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220 руб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297"/>
        </w:trPr>
        <w:tc>
          <w:tcPr>
            <w:tcW w:w="474" w:type="dxa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04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Фрукты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38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230 руб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297"/>
        </w:trPr>
        <w:tc>
          <w:tcPr>
            <w:tcW w:w="474" w:type="dxa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04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Мороженое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38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60 руб за штуку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10"/>
        </w:trPr>
        <w:tc>
          <w:tcPr>
            <w:tcW w:w="474" w:type="dxa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04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Реквизиты для игр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384" w:type="dxa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300 руб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Такие задачи в жизни ребята, наверняка не решали, ведь подобные задачи в жизни решают родители, но ребята приобретают практический опыт, которым реально могут воспользоваться.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Решая подобные задания,  у детей развивается способность различать математические объекты (числа, величины, фигуры), устанавливать математические отношения (длиннее-короче, быстрее-медленнее), зависимости (увеличивается, расходуется), сравнивать, классифиц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ировать.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Примеры заданий: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Допиши единицы измерений:</w:t>
        <w:br/>
        <w:t xml:space="preserve">площадь школьного пенала прямоугольной формы 180…</w:t>
        <w:br/>
        <w:t xml:space="preserve">длина дорожки 50 ….</w:t>
        <w:br/>
        <w:t xml:space="preserve">площадь кухни 12….</w:t>
        <w:br/>
        <w:t xml:space="preserve">высота окна 145 ….</w:t>
        <w:br/>
        <w:t xml:space="preserve">длина гвоздя 100….</w:t>
        <w:br/>
        <w:t xml:space="preserve">высота дома 16…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рост школьника 1 360 …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3.Задача.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В бутылке лимонада 1 литр. На скольких человек хватит этой газировки, если каждый выпьет по 200 граммовому стакану.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 Задача.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 «Аркадий Тихонович на даче решил поменять плинтус в комнате на полу. Сколько штук плинтуса ему надо купить, если каждый плинтус имеет длину 2 м. При этом длина комнаты 6 м, а ширина 4 м?».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5. Задача.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В коробке 5 рядов по 4 конфеты в каждом. Сколько всего конфет в коробке?  У меня завтра день рождения, будет 16 человек. Хватит ли одной коробки конфет на всех?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Сюда же относятся и нестандартные задачи.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181818"/>
          <w:sz w:val="28"/>
        </w:rPr>
        <w:t xml:space="preserve">Нестандартные задачи.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При решении таких задач ребенок соотносит суждения о предметах, отвлекаясь от особенностей их наглядных образов, рассуждает, делает выводы. Таким образом, в начальной школе закладываются основы доказательного мышления.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1.У него есть четыре, но если их все отрезать, то у него станет целых восемь. О чем идет речь? Об углах четырехугольника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 2.Если в 12 часов ночи идет дождь, то можно ли ожидать, что через 72 часа будет солнечная погода? Нет, так как через 72 часа снова будет полночь.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3.В парке 8 скамеек. Три покрасили. Сколько скамеек стало в парке? Восемь.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 4. Термометр показывает плюс 15 градусов. Сколько градусов покажут два таких термометра? 15 градусов.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5.Батон разрезали на три части. Сколько сделали разрезов? Два разреза.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color w:val="181818"/>
          <w:sz w:val="28"/>
        </w:rPr>
        <w:t xml:space="preserve">Комбинаторные задачи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комбинаторных задачах идет обучение методу перебора, решение задач с помощью таблиц, схем, схемы-дерева. Кроме того, целенаправленное обучение решению комбинаторных задач способствует развитию такого качества мышления, как вариативность.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color w:val="181818"/>
          <w:sz w:val="28"/>
        </w:rPr>
        <w:t xml:space="preserve">Задачи повышенной трудности, логические  задачи.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 Задача №1. Если Лена купит 3альбома, то у неѐ останется 40 рублей. А если бы она захотела купить 5 альбомов, ей не хватило бы 200 рублей. Сколько денег у Лены?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Решение. 1. 5-3=2(аль.) – разница.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2. 40+200=240(руб)- стоят 2 альбома.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3. 240:2=120(руб)- стоит 1 альбом.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81818"/>
          <w:sz w:val="28"/>
        </w:rPr>
        <w:t xml:space="preserve">4. 120*3+40=400(руб)-было у Лены Ответ: 400 рублей.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</w:rPr>
        <w:t xml:space="preserve">Контекстной называют задачу, которая отвечает ряду требований.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Контекстная задача должна опираться на реально имеющийся у учащихся жизненный опыт, представления, знания, взгляды, мнения и т.д.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567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Контекстная задача нестандартна, оригинальна.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567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содержании контекстной задачи должны отражаться математические и нематематические проблемы и их взаимная связь.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567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Задача должна соответствовать программе курса.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567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Контекст задачи может быть представлен в различных формах. Это могут быть  таблицы, графики, текст, диаграммы.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567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Существует математическая модель описанной в задаче ситуации, которая соответствует уровню подготовленности школьника.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567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Сюжет задачи должен развиваться в соответствии с последовательностью поставленных в ней вопросов.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Контексты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2"/>
        <w:numPr>
          <w:numId w:val="1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right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Личная жизнь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– Мир человека (повседневные дела: покупки, приготовление пищи, игры, здоровье и др.).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2"/>
        <w:numPr>
          <w:numId w:val="2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right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Образование/профессиональная деятельность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– Мир профессий (школьная жизнь и трудовая деятельность, включают такие действия, как измерения, подсчеты стоимости, заказ материалов, например, для построения книжных полок в кабинете математики, оплата счетов и др.).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2"/>
        <w:numPr>
          <w:numId w:val="3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right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Общественная жизнь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– Мир социума (обмен валюты, денежные вклады в банке, прогноз итогов выборов, демография).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2"/>
        <w:numPr>
          <w:numId w:val="4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right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Научная деятельность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– Мир науки (рассмотрение теоретических вопросов, например, анализ половозрастных пирамид населения, или решение чисто математических задач, например, применение неравенства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треугольника.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</w:rPr>
        <w:t xml:space="preserve">Подходы к подбору и составлению заданий по формированию математической грамотности младших школьников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36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Предлагать учебные задания, задачи, содержащие проблемные ситуации, разрешаемые средствами математики.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36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описании ситуации должно быть достаточно информации для решения поставленной проблемы.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36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Дополнительная информация сообщается в формулировке вопроса.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36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Содержание задания ориентировано на требования к обязательной математической подготовке (ФГОС НОО, предметные и метапредметные планируемые результаты обучения).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36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Решение проблемы может быть рассчитано на привлечение жизненного опыта школьника.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36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Информация предлагается в различном виде (рисунок, текст, таблица и др.). Используются возможности компьютера (построения, заполнение свободных полей, перетаскивания и др.).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36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Используются возможности разной формы записи ответа (выбор, краткий, развернутый).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36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Приоритет заданий, решаемых разными способами.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111115"/>
          <w:sz w:val="28"/>
        </w:rPr>
        <w:t xml:space="preserve">     Систематическое использование на уроках математики специальных задач и заданий, приемов и технологий, направленных на развитие логического мышления, формирует и развивает функциональную грамотность младших школьников, которая позволяет более уверенно </w:t>
      </w:r>
      <w:r>
        <w:rPr>
          <w:rFonts w:ascii="Times New Roman" w:hAnsi="Times New Roman" w:cs="Times New Roman" w:eastAsia="Times New Roman"/>
          <w:color w:val="111115"/>
          <w:sz w:val="28"/>
        </w:rPr>
        <w:t xml:space="preserve">ориентироваться в простейших закономерностях окружающей их действительности и активнее использовать математические знания в повседневной жизни. Наша задача – воспитать такую личность.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sz w:val="32"/>
        </w:rPr>
      </w:pPr>
      <w:r>
        <w:rPr>
          <w:rFonts w:ascii="Times New Roman" w:hAnsi="Times New Roman" w:cs="Times New Roman" w:eastAsia="Times New Roman"/>
          <w:b/>
          <w:color w:val="181818"/>
          <w:sz w:val="28"/>
        </w:rPr>
        <w:t xml:space="preserve">Формула функциональной грамотности</w:t>
      </w:r>
      <w:r>
        <w:rPr>
          <w:sz w:val="3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  <w:rPr>
          <w:sz w:val="32"/>
        </w:rPr>
      </w:pPr>
      <w:r>
        <w:rPr>
          <w:rFonts w:ascii="Times New Roman" w:hAnsi="Times New Roman" w:cs="Times New Roman" w:eastAsia="Times New Roman"/>
          <w:b/>
          <w:color w:val="181818"/>
          <w:sz w:val="32"/>
        </w:rPr>
        <w:t xml:space="preserve"> </w:t>
      </w:r>
      <w:r>
        <w:rPr>
          <w:sz w:val="3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 w:after="0"/>
        <w:ind w:left="0" w:right="0" w:firstLine="0"/>
        <w:jc w:val="both"/>
      </w:pPr>
      <w:r>
        <w:rPr>
          <w:rFonts w:ascii="Times New Roman" w:hAnsi="Times New Roman" w:cs="Times New Roman" w:eastAsia="Times New Roman"/>
          <w:b/>
          <w:color w:val="181818"/>
          <w:sz w:val="28"/>
        </w:rPr>
        <w:t xml:space="preserve">ОВЛАДЕНИЕ = УСВОЕНИЕ + ПРИМЕНЕНИЕ НА ПРАКТИКЕ</w:t>
      </w:r>
    </w:p>
    <w:p/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78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50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94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66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610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82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78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50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94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66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610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82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78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50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94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66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610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82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78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50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94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66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610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829" w:hanging="360"/>
      </w:pPr>
      <w:rPr>
        <w:rFonts w:ascii="Symbol" w:hAnsi="Symbol" w:cs="Symbol" w:eastAsia="Symbol" w:hint="default"/>
        <w:color w:val="00000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Next/>
      <w:keepLines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67a4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5b9bd5" w:themeFill="accent1"/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472c4" w:themeFill="accent5"/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5b9bd5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5b9bd5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8eabdb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spacing w:after="57"/>
      <w:ind w:left="0" w:right="0" w:firstLine="0"/>
    </w:pPr>
  </w:style>
  <w:style w:type="paragraph" w:styleId="180">
    <w:name w:val="toc 2"/>
    <w:basedOn w:val="598"/>
    <w:next w:val="598"/>
    <w:uiPriority w:val="39"/>
    <w:unhideWhenUsed/>
    <w:pPr>
      <w:spacing w:after="57"/>
      <w:ind w:left="283" w:right="0" w:firstLine="0"/>
    </w:pPr>
  </w:style>
  <w:style w:type="paragraph" w:styleId="181">
    <w:name w:val="toc 3"/>
    <w:basedOn w:val="598"/>
    <w:next w:val="598"/>
    <w:uiPriority w:val="39"/>
    <w:unhideWhenUsed/>
    <w:pPr>
      <w:spacing w:after="57"/>
      <w:ind w:left="567" w:right="0" w:firstLine="0"/>
    </w:pPr>
  </w:style>
  <w:style w:type="paragraph" w:styleId="182">
    <w:name w:val="toc 4"/>
    <w:basedOn w:val="598"/>
    <w:next w:val="598"/>
    <w:uiPriority w:val="39"/>
    <w:unhideWhenUsed/>
    <w:pPr>
      <w:spacing w:after="57"/>
      <w:ind w:left="850" w:right="0" w:firstLine="0"/>
    </w:pPr>
  </w:style>
  <w:style w:type="paragraph" w:styleId="183">
    <w:name w:val="toc 5"/>
    <w:basedOn w:val="598"/>
    <w:next w:val="598"/>
    <w:uiPriority w:val="39"/>
    <w:unhideWhenUsed/>
    <w:pPr>
      <w:spacing w:after="57"/>
      <w:ind w:left="1134" w:right="0" w:firstLine="0"/>
    </w:pPr>
  </w:style>
  <w:style w:type="paragraph" w:styleId="184">
    <w:name w:val="toc 6"/>
    <w:basedOn w:val="598"/>
    <w:next w:val="598"/>
    <w:uiPriority w:val="39"/>
    <w:unhideWhenUsed/>
    <w:pPr>
      <w:spacing w:after="57"/>
      <w:ind w:left="1417" w:right="0" w:firstLine="0"/>
    </w:pPr>
  </w:style>
  <w:style w:type="paragraph" w:styleId="185">
    <w:name w:val="toc 7"/>
    <w:basedOn w:val="598"/>
    <w:next w:val="598"/>
    <w:uiPriority w:val="39"/>
    <w:unhideWhenUsed/>
    <w:pPr>
      <w:spacing w:after="57"/>
      <w:ind w:left="1701" w:right="0" w:firstLine="0"/>
    </w:pPr>
  </w:style>
  <w:style w:type="paragraph" w:styleId="186">
    <w:name w:val="toc 8"/>
    <w:basedOn w:val="598"/>
    <w:next w:val="598"/>
    <w:uiPriority w:val="39"/>
    <w:unhideWhenUsed/>
    <w:pPr>
      <w:spacing w:after="57"/>
      <w:ind w:left="1984" w:right="0" w:firstLine="0"/>
    </w:pPr>
  </w:style>
  <w:style w:type="paragraph" w:styleId="187">
    <w:name w:val="toc 9"/>
    <w:basedOn w:val="598"/>
    <w:next w:val="598"/>
    <w:uiPriority w:val="39"/>
    <w:unhideWhenUsed/>
    <w:pPr>
      <w:spacing w:after="57"/>
      <w:ind w:left="2268" w:right="0" w:firstLine="0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ind w:left="720"/>
      <w:contextualSpacing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2024-06-04T07:04:27Z</dcterms:modified>
</cp:coreProperties>
</file>