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Выступление на ШМО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Формирование внутренней мотивации к учению через организацию самостоятельной познавательной деятельности учащихся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 xml:space="preserve">Подготовила: учитель 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                                                                                       начальных классов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 xml:space="preserve">Кулешова А.П. </w:t>
      </w: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31.10. 2023г.</w:t>
      </w: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Турочак 2023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444444"/>
          <w:sz w:val="28"/>
          <w:szCs w:val="28"/>
          <w:lang w:eastAsia="ru-RU"/>
        </w:rPr>
        <w:t>Формирование внутренней мотивации к учению через организацию самостоятельной познавательной деятельности учащихся.</w:t>
      </w:r>
    </w:p>
    <w:p>
      <w:pPr>
        <w:pStyle w:val="Heading1"/>
        <w:spacing w:before="280" w:after="0"/>
        <w:jc w:val="right"/>
        <w:rPr>
          <w:b w:val="off"/>
          <w:i/>
          <w:iCs/>
          <w:sz w:val="28"/>
          <w:szCs w:val="28"/>
        </w:rPr>
      </w:pPr>
      <w:bookmarkStart w:id="0" w:name="_GoBack"/>
      <w:r>
        <w:rPr>
          <w:b w:val="off"/>
          <w:i/>
          <w:iCs/>
          <w:sz w:val="28"/>
          <w:szCs w:val="28"/>
        </w:rPr>
        <w:t>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приневолить.</w:t>
      </w:r>
    </w:p>
    <w:p>
      <w:pPr>
        <w:pStyle w:val="Heading1"/>
        <w:spacing w:before="280" w:after="0"/>
        <w:jc w:val="right"/>
        <w:rPr>
          <w:b w:val="off"/>
          <w:bCs w:val="off"/>
          <w:i/>
          <w:sz w:val="28"/>
          <w:szCs w:val="28"/>
        </w:rPr>
      </w:pPr>
      <w:r>
        <w:rPr>
          <w:b w:val="off"/>
          <w:bCs w:val="off"/>
          <w:i/>
          <w:sz w:val="28"/>
          <w:szCs w:val="28"/>
        </w:rPr>
        <w:t>К.Д. Ушинский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bCs/>
          <w:sz w:val="28"/>
          <w:szCs w:val="28"/>
        </w:rPr>
      </w:pPr>
      <w:bookmarkEnd w:id="0"/>
      <w:r>
        <w:rPr>
          <w:rFonts w:ascii="Times New Roman" w:cs="Times New Roman" w:hAnsi="Times New Roman"/>
          <w:bCs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 Эти вопросы волнуют многих педагогов и родителей.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Мотивы учения младших школьников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Главная задача школьного обучения</w:t>
      </w:r>
      <w:r>
        <w:rPr>
          <w:rFonts w:ascii="Times New Roman" w:cs="Times New Roman" w:hAnsi="Times New Roman"/>
          <w:sz w:val="28"/>
          <w:szCs w:val="28"/>
        </w:rPr>
        <w:t xml:space="preserve"> – сформировать у детей такой психологический механизм, который позволил бы им в дальнейшем осуществить процесс самореализации, саморазвития, чтобы познавательная потребность не угасала раз и навсегда ещё во время обучения в школе, чтобы она двигала ими в будущем, и во взрослой жизни человек сохранил тягу к знаниям и получал бы удовлетворение от этого.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Младший школьный возраст имеет большие ресурсы формирования школьной мотивации учащихся. Важно формировать у учащихся младших классов такие качества личности, которые необходимы для жизни в новых условиях открытого общества: ответственности, инициативности, самостоятельности, что возможно только при высоком уровне школьной мотивации.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Главное содержание мотивации в этом возрасте — 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>«научиться учиться»</w:t>
      </w:r>
      <w:r>
        <w:rPr>
          <w:rFonts w:ascii="Times New Roman" w:cs="Times New Roman" w:hAnsi="Times New Roman"/>
          <w:i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Младший школьный возраст — это тот период, в который происходит развитие школьной мотивации, от которой зависит уровень познавательных способностей человека в будущем.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Пути формирования учебной мотивации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Формированию мотивации  в целом способствуют: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общая атмосфера положительного отношения  к учению, профессиональным знаниям;</w:t>
      </w:r>
    </w:p>
    <w:p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включенность  учащихся  в совместную учебную деятельность в коллективе  учебной группы (через парные, групповые формы работы);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построение  отношения «педаго</w:t>
      </w:r>
      <w:r>
        <w:rPr>
          <w:rFonts w:ascii="Times New Roman" w:cs="Times New Roman" w:hAnsi="Times New Roman"/>
          <w:sz w:val="28"/>
          <w:szCs w:val="28"/>
        </w:rPr>
        <w:t>г-</w:t>
      </w:r>
      <w:r>
        <w:rPr>
          <w:rFonts w:ascii="Times New Roman" w:cs="Times New Roman" w:hAnsi="Times New Roman"/>
          <w:sz w:val="28"/>
          <w:szCs w:val="28"/>
        </w:rPr>
        <w:t xml:space="preserve"> учащийся» не по типу вторжения, а на основе совета, создания ситуаций успеха, использования  различных методов стимулирования (от похвалы, дачи дополнительных заданий на оценку, до жетонной системы, «солнышек» и т.д.);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занимательность, необычное  изложение  нового материала;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образная, ярко звучащая речь, укрепление  положительные       эмоции в процессе учения;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использование познавательные  игр, дискуссий, создание проблемных ситуаций и их совместное и самостоятельное  разрешение;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построение  изучения  материала на основе жизненных ситуаций, опыте самих педагогов и учащихся;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самостоятельности и самоконтроля учащихся  в учебной деятельности, планирования, постановки  целей и реализации их  в деятельности, поиске нестандартных способов решения учебных задач.</w:t>
      </w:r>
    </w:p>
    <w:p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cs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Формирование побуждений к учению является одной из важных проблем в начальной школе, поскольку, как свидетельствуют психологи, именно в младшем школьном возрасте наблюдается тенденция к падению добросовестного отношения к учению. Отсюда очень важно, чтобы ученик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уже в начальных классах осознавал мотивы учения, так как от этого зависит проявление его интеллектуальной и волевой активности, формирование его отношения к учебному процессу в целом.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Чтобы положительные мотивы были не только осознанными, но и реально-действующими,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нужно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вести работу по их формированию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 Организовать учебную деятельность так, чтобы ученик занимал активное место в учении и чувствовал себя ведущим в познавательном процессе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Формирующие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оценивание.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 Активизировать познавательную деятельность во время уроков и во внеурочное время.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 Проследить, какие при этом произойдут изменения в структуре мотивации, стараться повысить удельный вес внутренних мотивов.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Для учеников начальных классов очень важно сознательное усвоение знаний. Необходимо построить учебный процесс так, чтобы учащийся с первого дня обучения видел свое продвижение вперед, нужно придать мотивам личностный смысл, чтобы школьник сумел установить связь между своим сегодняшним днем и своим будущим. Первостепенное значение в этом приобретает четкая постановка целей и осознание их учащимися. Работу по формированию внутренних мотивов начинаю с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исследования мотивации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учащихся путем наблюдения, проводя анкетирование, беседы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 детьми и их родителями. Между учителем и учеником должен быть установлен психологический контакт, отношения должны быть доброжелательными.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Создаю такие условия, при которых дети чувствуют, что учением можно заниматься с увлечением, получая при этом удовольствие от умственной деятельности.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Формирование внутренних мотивов веду через организацию учебной деятельности, которая существует в различных формах, приемах и методах: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создание условий для возникновения проблемных ситуаций;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выбор частично-поисковых и исследовательских приемов;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подбор интересного по содержанию дидактического материала с опорой на чувственное восприятие, с использованием ИКТ;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подача учебного материала в игровой форме через сказочного посредника;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создание ситуации успеха через выполнение заданий;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соотнесение учебного материала с конкретной жизненной ситуацией;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– разнообразие самих форм обучения и воспитания – это уроки-путешествия, интегрированные уроки, интеллектуальные игры, самостоятельные работы с элементами творчества, И ТД..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Рекомендуют  работе использовать следующие приемы: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Приём «Фантастическая добавка».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Учащимся предлагается представить себя прутиком, при помощи которого путешествовала лягушка из сказки В. М. Гаршина «Лягушка-путешественница», и попытаться пересказать эту историю с позиции прутика. Ничто так не привлекает внимания и не стимулирует работу ума, как удивительное.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Приём «Удивляй».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В юго-восточной Азии на острове Шри-Ланка растут пальмы из рода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корифа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Пластинки вееровидных листьев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корифы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достигают 8 м в длину и 6 м в ширину. Одним таким листом можно накрыть половину волейбольной площадки. Из них делают красивые и прочные зонты, расписные веера.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Иногда удивительное не просто привлекает внимание, но и удерживает интерес в течение длительного отрезка времени. Добиться этого позволяет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приём «Отсроченная отгадка».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Загадка (удивительный факт) даётся в конце урока, чтобы начать с неё следующее занятие: на следующем уроке мы познакомимся с самым тяжёлым корнем и самой большой почкой, которые растут у нас на огороде. 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Для создания интригующей ситуации, для организации отдыха на уроке можно использовать «Да-нет». «Я задумала персонаж детской сказки, который, найдя клад, купил новый бытовой прибор. Кто это?» Ученики пытаются найти ответ, задавая вопросы. На вопросы учитель может отвечать только словами «да» и «нет».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Формированию учебной мотивации способствует умелое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использование игровых ситуаций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и других элементов занимательности. Одним из наиболее действенных приёмов формирования мотивации к обучению является дидактическая игра. При включении детей в ситуацию дидактической игры интерес к учебной деятельности резко возрастает, работоспособность повышается. Так, при закреплении и проверке знаний на уроке русского языка можно использовать игру «Иду в гости». Её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можно использовать как в индивидуальной, так и в групповой работе. Она занимает на уроке немного времени, но даёт представление о том, как материал усвоен учащимися, с кем необходимо провести индивидуальную работу. В игре участвует весь класс. У детей фишки (они выбирают сами): красные — это «гости», жёлтые — это «хозяева». «Хозяева» приглашают в гости и предлагают «гостю» задание, написанное на карточке. «Хозяева» проверяют выполненное задание и ставят оценку. Затем приглашают нового «гостя».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Детям эта игра нравится, кроме всего прочего она приучает их к правилам этикета в гостях. Дидактическая игра помогает оживить в данном случае уроки русского языка и способствует развитию элементов творчества и самостоятельности.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СЛ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Активная позиция школьника в процессе обучения, учебно-познавательная мотивация должны распространяться и на контролирующую деятельность. Особенностью этой деятельности является следующее: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 Замена жесткого «неправильно» на более демократичное «это твое мнение, ты так думаешь, давай послушаем других».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 Право учащегося на ошибку, на коллективное обсуждение выдвинутой версии, на отстаивание своего мнения.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развития способности детей сравнивать свой ответ с другими, находить более верное решение учебной задачи используем такой прием: детям предлагаем выбрать сигнал ответа: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— Красный круг – сомневаюсь, прошу помощи, могу ошибиться;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— Синий квадрат – могу доказать.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Очень важно, чтобы ребенок не только активно, с интересом работал на уроке, но и видел плоды своего труда и мог их оценить. Ведь рефлексия в развитии личности играет значительную роль в формировании положительной мотивации на учение.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Мотивация оказывает самое большое влияние на продуктивность учебного процесса и определяет успешность учебной деятельности. Отсутствие мотивов учения неизбежно приводит к снижению успеваемости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Можно сделать следующие выводы: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1) мотивация является особо важным и специфичным компонентом учебной деятельности;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2) через мотивацию педагогические цели быстрее превращаются в психические цели обучаемых;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3) через мотивацию формируется определённое отношение учащихся к учебному предмету и осознаётся его ценностная значимость для личностного развития;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4) через формирование положительной мотивации можно значительно улучшить качественные показатели познавательных процессов.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Процесс повышения учебной мотивации у младших школьников будет эффективнее, если педагоги и психологи в своей работе будут использовать разнообразные формы, приёмы  и методы и будут учитывать следующие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  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lang w:eastAsia="ru-RU"/>
        </w:rPr>
        <w:t>факторы, влияющие на формирование учебной мотивации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lang w:eastAsia="ru-RU"/>
        </w:rPr>
        <w:t> :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СЛ</w:t>
      </w:r>
    </w:p>
    <w:sectPr>
      <w:pgSz w:w="11906" w:h="16838"/>
      <w:pgMar w:top="567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cs="Wingdings" w:hAnsi="Wingdings" w:hint="default"/>
      </w:rPr>
    </w:lvl>
    <w:lvl w:ilvl="1" w:tentative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cs="Times New Roman" w:eastAsiaTheme="minorHAnsi" w:hAnsi="Times New Roman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1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cs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cs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cs="Wingdings" w:hAnsi="Wingdings" w:hint="default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cs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cs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cs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cs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cs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AB"/>
    <w:rsid w:val="003C121C"/>
    <w:rsid w:val="005F0D75"/>
    <w:rsid w:val="006D4558"/>
    <w:rsid w:val="00B67957"/>
    <w:rsid w:val="00C77434"/>
    <w:rsid w:val="00E15DAB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/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</w:style>
  <w:style w:type="paragraph" w:styleId="Heading1">
    <w:name w:val="Heading 1"/>
    <w:basedOn w:val="Normal"/>
    <w:link w:val="Заголовок1Знак"/>
    <w:uiPriority w:val="9"/>
    <w:qFormat w:val="on"/>
    <w:pPr>
      <w:spacing w:line="240" w:lineRule="auto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qFormat w:val="on"/>
    <w:rPr>
      <w:rFonts w:ascii="Tahoma" w:cs="Tahoma" w:hAnsi="Tahoma"/>
      <w:sz w:val="16"/>
      <w:szCs w:val="16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qFormat w:val="on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styleId="Title">
    <w:name w:val="Title"/>
    <w:basedOn w:val="Normal"/>
    <w:next w:val="BodyText"/>
    <w:uiPriority w:val="99"/>
    <w:qFormat w:val="on"/>
    <w:pPr>
      <w:keepNext w:val="on"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99"/>
    <w:pPr>
      <w:spacing w:after="140"/>
    </w:pPr>
  </w:style>
  <w:style w:type="paragraph" w:styleId="List">
    <w:name w:val="List"/>
    <w:basedOn w:val="BodyText"/>
    <w:uiPriority w:val="99"/>
    <w:rPr>
      <w:rFonts w:cs="Lucida Sans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uiPriority w:val="99"/>
    <w:qFormat w:val="on"/>
    <w:pPr/>
    <w:rPr>
      <w:rFonts w:cs="Lucida Sans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qFormat w:val="on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23E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3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F323E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32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11" Type="http://schemas.openxmlformats.org/officeDocument/2006/relationships/image" Target="media/image2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7" Type="http://schemas.openxmlformats.org/officeDocument/2006/relationships/hyperlink" Target="http://sclsadovoe.org.ru/wp-content/uploads/2013/04/22222222.jpg" TargetMode="External"/><Relationship Id="rId8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884-B210-4ECC-9E57-628C57B1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Author</cp:lastModifiedBy>
</cp:coreProperties>
</file>