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hint="default" w:ascii="Times New Roman" w:hAnsi="Times New Roman" w:cs="Times New Roman" w:eastAsiaTheme="minorHAnsi"/>
          <w:b/>
          <w:sz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sz w:val="28"/>
          <w:lang w:val="ru-RU" w:eastAsia="en-US"/>
        </w:rPr>
        <w:t>ПЕРСПЕКТИВЫ СОЦИАЛЬНО - ЭКОНОМИЧЕСКОГО СОТРУДНИЧЕСТВА РОССИИ И КИТАЯ</w:t>
      </w:r>
    </w:p>
    <w:p>
      <w:pPr>
        <w:spacing w:after="160" w:line="259" w:lineRule="auto"/>
        <w:jc w:val="right"/>
        <w:rPr>
          <w:rFonts w:hint="default" w:ascii="Times New Roman" w:hAnsi="Times New Roman" w:cs="Times New Roman" w:eastAsiaTheme="minorHAnsi"/>
          <w:b/>
          <w:sz w:val="28"/>
          <w:lang w:val="ru-RU" w:eastAsia="en-US"/>
        </w:rPr>
      </w:pPr>
      <w:r>
        <w:rPr>
          <w:rFonts w:ascii="Times New Roman" w:hAnsi="Times New Roman" w:cs="Times New Roman" w:eastAsiaTheme="minorHAnsi"/>
          <w:b/>
          <w:sz w:val="28"/>
          <w:lang w:val="ru-RU" w:eastAsia="en-US"/>
        </w:rPr>
        <w:t>Атнагулова</w:t>
      </w:r>
      <w:r>
        <w:rPr>
          <w:rFonts w:hint="default" w:ascii="Times New Roman" w:hAnsi="Times New Roman" w:cs="Times New Roman" w:eastAsiaTheme="minorHAnsi"/>
          <w:b/>
          <w:sz w:val="28"/>
          <w:lang w:val="ru-RU" w:eastAsia="en-US"/>
        </w:rPr>
        <w:t xml:space="preserve"> З.А.</w:t>
      </w:r>
    </w:p>
    <w:p>
      <w:pPr>
        <w:spacing w:after="160" w:line="259" w:lineRule="auto"/>
        <w:jc w:val="right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>Фатыхова А.А. к.э.н., доцент</w:t>
      </w:r>
    </w:p>
    <w:p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Казанский филиал </w:t>
      </w:r>
      <w:r>
        <w:rPr>
          <w:rFonts w:ascii="Times New Roman" w:hAnsi="Times New Roman" w:cs="Times New Roman"/>
          <w:i/>
          <w:sz w:val="28"/>
          <w:lang w:val="ru-RU"/>
        </w:rPr>
        <w:t>Ф</w:t>
      </w:r>
      <w:r>
        <w:rPr>
          <w:rFonts w:ascii="Times New Roman" w:hAnsi="Times New Roman" w:cs="Times New Roman"/>
          <w:i/>
          <w:sz w:val="28"/>
        </w:rPr>
        <w:t xml:space="preserve">едерального </w:t>
      </w:r>
      <w:r>
        <w:rPr>
          <w:rFonts w:ascii="Times New Roman" w:hAnsi="Times New Roman" w:cs="Times New Roman"/>
          <w:i/>
          <w:sz w:val="28"/>
          <w:lang w:val="ru-RU"/>
        </w:rPr>
        <w:t>Г</w:t>
      </w:r>
      <w:r>
        <w:rPr>
          <w:rFonts w:ascii="Times New Roman" w:hAnsi="Times New Roman" w:cs="Times New Roman"/>
          <w:i/>
          <w:sz w:val="28"/>
        </w:rPr>
        <w:t xml:space="preserve">осударственного </w:t>
      </w:r>
      <w:r>
        <w:rPr>
          <w:rFonts w:ascii="Times New Roman" w:hAnsi="Times New Roman" w:cs="Times New Roman"/>
          <w:i/>
          <w:sz w:val="28"/>
          <w:lang w:val="ru-RU"/>
        </w:rPr>
        <w:t>Б</w:t>
      </w:r>
      <w:r>
        <w:rPr>
          <w:rFonts w:ascii="Times New Roman" w:hAnsi="Times New Roman" w:cs="Times New Roman"/>
          <w:i/>
          <w:sz w:val="28"/>
        </w:rPr>
        <w:t xml:space="preserve">юджетного </w:t>
      </w:r>
      <w:r>
        <w:rPr>
          <w:rFonts w:ascii="Times New Roman" w:hAnsi="Times New Roman" w:cs="Times New Roman"/>
          <w:i/>
          <w:sz w:val="28"/>
          <w:lang w:val="ru-RU"/>
        </w:rPr>
        <w:t>О</w:t>
      </w:r>
      <w:r>
        <w:rPr>
          <w:rFonts w:ascii="Times New Roman" w:hAnsi="Times New Roman" w:cs="Times New Roman"/>
          <w:i/>
          <w:sz w:val="28"/>
        </w:rPr>
        <w:t xml:space="preserve">бразовательного </w:t>
      </w:r>
      <w:r>
        <w:rPr>
          <w:rFonts w:ascii="Times New Roman" w:hAnsi="Times New Roman" w:cs="Times New Roman"/>
          <w:i/>
          <w:sz w:val="28"/>
          <w:lang w:val="ru-RU"/>
        </w:rPr>
        <w:t>У</w:t>
      </w:r>
      <w:r>
        <w:rPr>
          <w:rFonts w:ascii="Times New Roman" w:hAnsi="Times New Roman" w:cs="Times New Roman"/>
          <w:i/>
          <w:sz w:val="28"/>
        </w:rPr>
        <w:t xml:space="preserve">чреждения </w:t>
      </w:r>
      <w:r>
        <w:rPr>
          <w:rFonts w:ascii="Times New Roman" w:hAnsi="Times New Roman" w:cs="Times New Roman"/>
          <w:i/>
          <w:sz w:val="28"/>
          <w:lang w:val="ru-RU"/>
        </w:rPr>
        <w:t>В</w:t>
      </w:r>
      <w:r>
        <w:rPr>
          <w:rFonts w:ascii="Times New Roman" w:hAnsi="Times New Roman" w:cs="Times New Roman"/>
          <w:i/>
          <w:sz w:val="28"/>
        </w:rPr>
        <w:t xml:space="preserve">ысшего </w:t>
      </w:r>
      <w:r>
        <w:rPr>
          <w:rFonts w:ascii="Times New Roman" w:hAnsi="Times New Roman" w:cs="Times New Roman"/>
          <w:i/>
          <w:sz w:val="28"/>
          <w:lang w:val="ru-RU"/>
        </w:rPr>
        <w:t>О</w:t>
      </w:r>
      <w:r>
        <w:rPr>
          <w:rFonts w:ascii="Times New Roman" w:hAnsi="Times New Roman" w:cs="Times New Roman"/>
          <w:i/>
          <w:sz w:val="28"/>
        </w:rPr>
        <w:t>бразования «Российская академия народного хозяйства и государственной службы при Президенте Российской Федерации»</w:t>
      </w:r>
      <w:r>
        <w:rPr>
          <w:rFonts w:hint="default"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г. Казань </w:t>
      </w:r>
    </w:p>
    <w:p>
      <w:pPr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hint="default" w:ascii="Times New Roman" w:hAnsi="Times New Roman" w:cs="Times New Roman"/>
          <w:i/>
          <w:sz w:val="28"/>
          <w:lang w:val="en-US"/>
        </w:rPr>
        <w:fldChar w:fldCharType="begin"/>
      </w:r>
      <w:r>
        <w:rPr>
          <w:rFonts w:hint="default" w:ascii="Times New Roman" w:hAnsi="Times New Roman" w:cs="Times New Roman"/>
          <w:i/>
          <w:sz w:val="28"/>
          <w:lang w:val="en-US"/>
        </w:rPr>
        <w:instrText xml:space="preserve"> HYPERLINK "mailto:zarinaatnagulova95@gmail.com" </w:instrText>
      </w:r>
      <w:r>
        <w:rPr>
          <w:rFonts w:hint="default" w:ascii="Times New Roman" w:hAnsi="Times New Roman" w:cs="Times New Roman"/>
          <w:i/>
          <w:sz w:val="28"/>
          <w:lang w:val="en-US"/>
        </w:rPr>
        <w:fldChar w:fldCharType="separate"/>
      </w:r>
      <w:r>
        <w:rPr>
          <w:rFonts w:hint="default" w:ascii="Times New Roman" w:hAnsi="Times New Roman" w:cs="Times New Roman"/>
          <w:i/>
          <w:sz w:val="28"/>
          <w:lang w:val="en-US"/>
        </w:rPr>
        <w:t>zarinaatnagulova95</w:t>
      </w:r>
      <w:r>
        <w:rPr>
          <w:rFonts w:ascii="Times New Roman" w:hAnsi="Times New Roman" w:cs="Times New Roman"/>
          <w:i/>
          <w:sz w:val="28"/>
        </w:rPr>
        <w:t>@</w:t>
      </w:r>
      <w:r>
        <w:rPr>
          <w:rFonts w:ascii="Times New Roman" w:hAnsi="Times New Roman" w:cs="Times New Roman"/>
          <w:i/>
          <w:sz w:val="28"/>
          <w:lang w:val="en-US"/>
        </w:rPr>
        <w:t>gmail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  <w:lang w:val="en-US"/>
        </w:rPr>
        <w:t>com</w:t>
      </w:r>
      <w:r>
        <w:rPr>
          <w:rFonts w:hint="default" w:ascii="Times New Roman" w:hAnsi="Times New Roman" w:cs="Times New Roman"/>
          <w:i/>
          <w:sz w:val="28"/>
          <w:lang w:val="en-US"/>
        </w:rPr>
        <w:fldChar w:fldCharType="end"/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lang w:eastAsia="en-US"/>
        </w:rPr>
        <w:t xml:space="preserve">Сотрудничество России и Китая преследует стратегические цели, </w:t>
      </w:r>
      <w:r>
        <w:rPr>
          <w:rFonts w:ascii="Times New Roman" w:hAnsi="Times New Roman" w:cs="Times New Roman" w:eastAsiaTheme="minorHAnsi"/>
          <w:sz w:val="28"/>
          <w:lang w:eastAsia="en-US"/>
        </w:rPr>
        <w:t>направленные на укрепление позиций государств в глобальном управлении. В последние годы наблюдается активный рост сотрудничества между Россией и Китаем. Это связано с укреплением политической стабильности, ростом экономики и увеличением объемов торговли между двумя странами. В настоящее время на официальном уровне руководством обеих стран разрабатываются совместные инвестиционные проекты, реализация которых поможет значительно укрепить национальную экономику во время мирового кризиса.</w:t>
      </w: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val="ru-RU"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 xml:space="preserve">Одной из ключевых областей сотрудничества является </w:t>
      </w: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торговля и инвестиции.</w:t>
      </w:r>
      <w:r>
        <w:rPr>
          <w:rFonts w:ascii="Times New Roman" w:hAnsi="Times New Roman" w:cs="Times New Roman" w:eastAsiaTheme="minorHAnsi"/>
          <w:sz w:val="28"/>
          <w:lang w:eastAsia="en-US"/>
        </w:rPr>
        <w:t xml:space="preserve"> Россия и Китай активно развивают торговые отношения, обмениваясь товарами, услугами и инвестициями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>.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 xml:space="preserve">Торговля. </w:t>
      </w:r>
      <w:r>
        <w:rPr>
          <w:rFonts w:ascii="Times New Roman" w:hAnsi="Times New Roman" w:cs="Times New Roman" w:eastAsiaTheme="minorHAnsi"/>
          <w:sz w:val="28"/>
          <w:lang w:eastAsia="en-US"/>
        </w:rPr>
        <w:t>За 2023 года, по данным таможенного управления КНР, торговля Китая с Россией установила рекорд — 218 млрд долл. Экспорт Китая в Россию составил 101 млрд долл. и вырос в совокупности на 52% по сравнению с 2022 г. Наибольшая доля экспорта в Китай приходится на топливо.  Общая сумма импорта за 12 месяцев — 118 млрд долл.</w:t>
      </w:r>
    </w:p>
    <w:p>
      <w:pPr>
        <w:jc w:val="center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</w:rPr>
        <w:drawing>
          <wp:inline distT="0" distB="0" distL="114300" distR="114300">
            <wp:extent cx="4855845" cy="2310765"/>
            <wp:effectExtent l="4445" t="4445" r="1651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300" w:afterAutospacing="0"/>
        <w:ind w:left="28" w:firstLine="539"/>
        <w:jc w:val="both"/>
        <w:rPr>
          <w:rFonts w:eastAsiaTheme="minorHAnsi"/>
          <w:sz w:val="28"/>
          <w:szCs w:val="22"/>
          <w:lang w:val="ru-RU" w:eastAsia="en-US"/>
        </w:rPr>
      </w:pPr>
      <w:r>
        <w:rPr>
          <w:rFonts w:eastAsiaTheme="minorHAnsi"/>
          <w:b/>
          <w:bCs/>
          <w:sz w:val="28"/>
          <w:lang w:val="ru-RU" w:eastAsia="en-US"/>
        </w:rPr>
        <w:t>Рисунок 1 -</w:t>
      </w:r>
      <w:r>
        <w:rPr>
          <w:rFonts w:eastAsiaTheme="minorHAnsi"/>
          <w:sz w:val="28"/>
          <w:szCs w:val="22"/>
          <w:lang w:val="ru-RU" w:eastAsia="en-US"/>
        </w:rPr>
        <w:t>Динамика торговых отношений между РФ и КНР в 2020-2023 годах (млрд долларов).</w:t>
      </w:r>
    </w:p>
    <w:p>
      <w:pPr>
        <w:pStyle w:val="6"/>
        <w:shd w:val="clear" w:color="auto" w:fill="FFFFFF"/>
        <w:spacing w:before="0" w:beforeAutospacing="0" w:after="300" w:afterAutospacing="0"/>
        <w:ind w:left="28" w:firstLine="539"/>
        <w:jc w:val="both"/>
        <w:rPr>
          <w:rFonts w:hint="default" w:eastAsiaTheme="minorHAnsi"/>
          <w:sz w:val="28"/>
          <w:lang w:val="ru-RU" w:eastAsia="en-US"/>
        </w:rPr>
      </w:pPr>
      <w:r>
        <w:rPr>
          <w:rFonts w:eastAsiaTheme="minorHAnsi"/>
          <w:sz w:val="28"/>
          <w:szCs w:val="22"/>
          <w:lang w:val="ru-RU" w:eastAsia="en-US"/>
        </w:rPr>
        <w:t>Большая часть экспорта пришлась на ввезенные в Россию китайские автомобили. В общей сумме за 10 месяцев 2023 г. их было ввезено свыше 250 тыс, а это 80% от всей суммы ввозимых в Россию автомобилей со всех стран. В 2024 г. китайские компании планируют продать в России 1,2 млн легковых автомобилей четырех основных марок.  Специалисты к автомобильной экспансии Китая относятся с большими опасениями, указывая, что цена машин неоправданно завышена, а качество автомобилей и их приспособленность к российскому климату оставляют желать много лучшего</w:t>
      </w:r>
      <w:r>
        <w:rPr>
          <w:rFonts w:hint="default" w:eastAsiaTheme="minorHAnsi"/>
          <w:sz w:val="28"/>
          <w:szCs w:val="22"/>
          <w:lang w:val="ru-RU" w:eastAsia="en-US"/>
        </w:rPr>
        <w:t xml:space="preserve"> </w:t>
      </w:r>
      <w:r>
        <w:rPr>
          <w:rFonts w:hint="default" w:eastAsiaTheme="minorHAnsi"/>
          <w:sz w:val="28"/>
          <w:szCs w:val="22"/>
          <w:lang w:val="en-US" w:eastAsia="en-US"/>
        </w:rPr>
        <w:t>[</w:t>
      </w:r>
      <w:r>
        <w:rPr>
          <w:rFonts w:hint="default" w:eastAsiaTheme="minorHAnsi"/>
          <w:sz w:val="28"/>
          <w:szCs w:val="22"/>
          <w:lang w:val="ru-RU" w:eastAsia="en-US"/>
        </w:rPr>
        <w:t>7</w:t>
      </w:r>
      <w:r>
        <w:rPr>
          <w:rFonts w:hint="default" w:eastAsiaTheme="minorHAnsi"/>
          <w:sz w:val="28"/>
          <w:szCs w:val="22"/>
          <w:lang w:val="en-US" w:eastAsia="en-US"/>
        </w:rPr>
        <w:t>]</w:t>
      </w:r>
      <w:r>
        <w:rPr>
          <w:rFonts w:hint="default" w:eastAsiaTheme="minorHAnsi"/>
          <w:sz w:val="28"/>
          <w:szCs w:val="22"/>
          <w:lang w:val="ru-RU" w:eastAsia="en-US"/>
        </w:rPr>
        <w:t>.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Инвестиции.</w:t>
      </w:r>
      <w:r>
        <w:rPr>
          <w:rFonts w:ascii="Times New Roman" w:hAnsi="Times New Roman" w:cs="Times New Roman" w:eastAsiaTheme="minorHAnsi"/>
          <w:sz w:val="28"/>
          <w:lang w:eastAsia="en-US"/>
        </w:rPr>
        <w:t xml:space="preserve"> Россия и Китай активно инвестируют друг в друга. Китай является одним из крупнейших иностранных инвесторов в российскую экономику. Китайские компании инвестируют в различные отрасли, включая энергетику, транспорт, сельское хозяйство и другие. С другой стороны, российские компании также активно инвестируют в Китай, особенно в секторы высоких технологий и инфраструктуры.</w:t>
      </w:r>
    </w:p>
    <w:p>
      <w:pPr>
        <w:ind w:firstLine="709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 xml:space="preserve">Китай активно участвует в крупнейшем инвестиционном проекте России за последние пять лет - </w:t>
      </w: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Ямал СПГ</w:t>
      </w:r>
      <w:r>
        <w:rPr>
          <w:rFonts w:ascii="Times New Roman" w:hAnsi="Times New Roman" w:cs="Times New Roman" w:eastAsiaTheme="minorHAnsi"/>
          <w:sz w:val="28"/>
          <w:lang w:eastAsia="en-US"/>
        </w:rPr>
        <w:t>, в котором 20% акций принадлежат китайской корпорации CNPC, а еще 10% - Фонду Шелкового Пути.Это интегрированный проект по добыче, сжижению и поставкам природного газа, реализуется на полуострове Ямал за Полярным кругом на базе Южно-Тамбейского месторождения. Проект предусматривал строительство завода по производству сжиженного природного газа (СПГ) мощностью около 16,5 млн. тонн в год.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 xml:space="preserve">Одним из наиболее ярких примеров сотрудничества России и Китая является проект по строительству восточной ветки Российско-Китайского газопровода под названием </w:t>
      </w: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«Сила Сибири»</w:t>
      </w:r>
      <w:r>
        <w:rPr>
          <w:rFonts w:ascii="Times New Roman" w:hAnsi="Times New Roman" w:cs="Times New Roman" w:eastAsiaTheme="minorHAnsi"/>
          <w:sz w:val="28"/>
          <w:lang w:eastAsia="en-US"/>
        </w:rPr>
        <w:t>, разработанного при поддержке российской компании «Газпром» и Китайской национальной нефтегазовой корпорации .Длина газопровода составляет более 2000 км. Договор заключен сроком на 30 лет и предполагает поставку в КНР 38 млрд куб. м газа в год.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Транспорт и логистика</w:t>
      </w:r>
      <w:r>
        <w:rPr>
          <w:rFonts w:ascii="Times New Roman" w:hAnsi="Times New Roman" w:cs="Times New Roman" w:eastAsiaTheme="minorHAnsi"/>
          <w:sz w:val="28"/>
          <w:lang w:eastAsia="en-US"/>
        </w:rPr>
        <w:t xml:space="preserve">. Россия и Китай также сотрудничают в области транспорта и логистики. Обе страны активно развивают транспортные коридоры, включая железнодорожные и автомобильные маршруты, которые связывают их территории. 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Перспективы развития логистики Китай-Россия включают в себя создание еще более удобных и быстрых способов транспортировки товаров, улучшение складских условий и оптимизацию логистических процессов. Это позволит сократить время доставки и расходы на перевозку товаров между Китаем и Россией.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 xml:space="preserve">Примером такого сотрудничества является строительство высокоскоростной железнодорожной магистрали </w:t>
      </w: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«Москва-Пекин»</w:t>
      </w:r>
      <w:r>
        <w:rPr>
          <w:rFonts w:ascii="Times New Roman" w:hAnsi="Times New Roman" w:cs="Times New Roman" w:eastAsiaTheme="minorHAnsi"/>
          <w:sz w:val="28"/>
          <w:lang w:eastAsia="en-US"/>
        </w:rPr>
        <w:t>. Этот проект позволит сократить время путешествия между двумя странами до нескольких дней и создаст новые возможности для развития туризма и торговли. Маршрут  проходит по территории нескольких стран: России, Казахстана, Китая. Общая длина железной дороги составит 7 тысяч километров, из которых 3200 км от Пекина по территории Китая уже построено. Время в пути составит примерно 32 часа вместо 5 суток в настоящее время. Линия впервые будет рассчитана на обращение как пассажирских, так и грузовых контейнерных поездов. Примерная стоимость всей железнодорожной линии  оценивается в 242 млрд долларов США [5].</w:t>
      </w:r>
    </w:p>
    <w:p>
      <w:pPr>
        <w:ind w:firstLine="709"/>
        <w:jc w:val="both"/>
        <w:rPr>
          <w:rFonts w:ascii="SimSun" w:hAnsi="SimSun" w:eastAsia="SimSun" w:cs="SimSun"/>
          <w:sz w:val="24"/>
          <w:szCs w:val="24"/>
        </w:rPr>
      </w:pPr>
    </w:p>
    <w:p>
      <w:pPr>
        <w:ind w:firstLine="709"/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141470" cy="2271395"/>
            <wp:effectExtent l="0" t="0" r="11430" b="14605"/>
            <wp:docPr id="11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rcRect t="5500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>Рисунок 4</w:t>
      </w:r>
      <w:r>
        <w:rPr>
          <w:rFonts w:ascii="Times New Roman" w:hAnsi="Times New Roman" w:cs="Times New Roman" w:eastAsiaTheme="minorHAnsi"/>
          <w:sz w:val="28"/>
          <w:lang w:eastAsia="en-US"/>
        </w:rPr>
        <w:t xml:space="preserve"> - Проект высокоскоростного транспортного коридора «Шелковый путь»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val="ru-RU"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 xml:space="preserve">При этом в 2023 г. Китай вышел из совместного с Россией проекта широкофюзеляжного пассажирского самолета, который задумывался как конкурент лайнерам Boeing и Airbus. Все российские наработки Китай поменял на технологические решения от западных компаний и   самолет на 280 пассажиров был представлен как полностью китайская разработка. Одной из причин конфликта аналитики </w:t>
      </w:r>
      <w:r>
        <w:fldChar w:fldCharType="begin"/>
      </w:r>
      <w:r>
        <w:instrText xml:space="preserve"> HYPERLINK "https://aviation21.ru/cr929-nikto-ne-xotel-ustupat-ili-proekt-raznoglasij-i-samouverennosti/" </w:instrText>
      </w:r>
      <w:r>
        <w:fldChar w:fldCharType="separate"/>
      </w:r>
      <w:r>
        <w:rPr>
          <w:rFonts w:ascii="Times New Roman" w:hAnsi="Times New Roman" w:cs="Times New Roman" w:eastAsiaTheme="minorHAnsi"/>
          <w:sz w:val="28"/>
          <w:lang w:eastAsia="en-US"/>
        </w:rPr>
        <w:t>называли</w:t>
      </w:r>
      <w:r>
        <w:rPr>
          <w:rFonts w:ascii="Times New Roman" w:hAnsi="Times New Roman" w:cs="Times New Roman" w:eastAsiaTheme="minorHAnsi"/>
          <w:sz w:val="28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sz w:val="28"/>
          <w:lang w:eastAsia="en-US"/>
        </w:rPr>
        <w:t> желание китайской стороны «исключить Россию из доли прибыли от китайского рынка и вместо этого разделить прибыль от экспортных поставок CR929, в которых доля России составит 70%»</w:t>
      </w:r>
      <w:r>
        <w:rPr>
          <w:rFonts w:hint="default" w:ascii="Times New Roman" w:hAnsi="Times New Roman" w:cs="Times New Roman" w:eastAsiaTheme="minorHAnsi"/>
          <w:sz w:val="28"/>
          <w:lang w:val="en-US" w:eastAsia="en-US"/>
        </w:rPr>
        <w:t xml:space="preserve"> [3]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>.</w:t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Развитие транспортных коридоров через территорию Евразии, в том числе Казахстана, России и Белоруссии – не российские, а китайские проекты, и Россия в них остается на вторых ролях, поскольку Китай является и идейным вдохновителем, и главным выгодополучателем. И Китаю совершенно не нужно доминирование Российской Федерации в трансевразийской торговле.</w:t>
      </w: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lang w:eastAsia="en-US"/>
        </w:rPr>
        <w:t xml:space="preserve">В первом полугодии 2022 года 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>Россия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 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begin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instrText xml:space="preserve"> HYPERLINK "https://ria.ru/20220725/investitsii-1804691949.html?ysclid=l60sgqdoe0317935547" \t "https://journal.tinkoff.ru/china-partnership/_blank" </w:instrTex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separate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не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получила финансирования по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линии инициативы «Один пояс, один путь»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end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 — проекта, направленного на создание торгово-транспортных коридоров между 60 странами. В его рамках строился мост из Благовещенска и проектировалась высокоскоростная железная дорога из Москвы в Казань.</w:t>
      </w: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sz w:val="28"/>
          <w:lang w:eastAsia="en-US"/>
        </w:rPr>
        <w:t>Официально Китай не присоединялся к западным санкциям против России, 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begin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instrText xml:space="preserve"> HYPERLINK "https://asia.nikkei.com/Politics/Ukraine-war/Xi-objects-to-Russia-sanctions-in-summit-with-France-and-Germany" \t "https://journal.tinkoff.ru/china-partnership/_blank" </w:instrTex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separate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а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глава КНР неоднократно заявлял об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их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нелегитимности.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end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 При этом многие китайские компании покидают российский рынок — но тихо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val="en-US" w:eastAsia="en-US"/>
        </w:rPr>
        <w:t>[4]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>.</w:t>
      </w:r>
      <w:bookmarkStart w:id="0" w:name="_GoBack"/>
      <w:bookmarkEnd w:id="0"/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Новые вызовы, связанные с санкционным давлением на Россию, создают перспективу для сотрудничества России и Китая в промышленной области.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lang w:eastAsia="en-US"/>
        </w:rPr>
        <w:t>Наиболее востребованным для бизнеса сейчас выглядит сотрудничество в сфере производства автомобилей и электротехники. Экспорт ноутбуков в 2023 году сократился на 16 % по сравнению с предыдущим годом, смартфонов — на 15 % .</w:t>
      </w:r>
    </w:p>
    <w:p>
      <w:pPr>
        <w:ind w:firstLine="709"/>
        <w:jc w:val="center"/>
      </w:pPr>
      <w:r>
        <w:drawing>
          <wp:inline distT="0" distB="0" distL="114300" distR="114300">
            <wp:extent cx="4422140" cy="1767205"/>
            <wp:effectExtent l="0" t="0" r="16510" b="4445"/>
            <wp:docPr id="13" name="Замещающее содержимо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Замещающее содержимое 4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rcRect t="13770" b="58198"/>
                    <a:stretch>
                      <a:fillRect/>
                    </a:stretch>
                  </pic:blipFill>
                  <pic:spPr>
                    <a:xfrm>
                      <a:off x="0" y="0"/>
                      <a:ext cx="442214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lang w:eastAsia="en-US"/>
        </w:rPr>
        <w:t xml:space="preserve">Рисунок 5 </w:t>
      </w:r>
      <w:r>
        <w:rPr>
          <w:rFonts w:ascii="Times New Roman" w:hAnsi="Times New Roman" w:cs="Times New Roman" w:eastAsiaTheme="minorHAnsi"/>
          <w:sz w:val="28"/>
          <w:lang w:eastAsia="en-US"/>
        </w:rPr>
        <w:t>- Экспорт из КНР в РФ электротехники.</w:t>
      </w: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lang w:eastAsia="en-US"/>
        </w:rPr>
        <w:t>После ухода платежных систем — сначала Visa и Mastercard, а затем и JCB — российские банки 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begin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instrText xml:space="preserve"> HYPERLINK "https://www.kommersant.ru/doc/5249389" \t "https://journal.tinkoff.ru/china-partnership/_blank" </w:instrTex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separate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рассчитывали на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сотрудничество с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китайской UnionPay.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end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 Но компания заморозила переговоры спустя месяц после начала: 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begin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instrText xml:space="preserve"> HYPERLINK "https://www.rbc.ru/newspaper/2022/04/21/625ffd519a7947196d66f36c" \t "https://journal.tinkoff.ru/china-partnership/_blank" </w:instrTex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separate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по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данным РБК</w:t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fldChar w:fldCharType="end"/>
      </w:r>
      <w:r>
        <w:rPr>
          <w:rFonts w:hint="default" w:ascii="Times New Roman" w:hAnsi="Times New Roman" w:cs="Times New Roman" w:eastAsiaTheme="minorHAnsi"/>
          <w:sz w:val="28"/>
          <w:lang w:eastAsia="en-US"/>
        </w:rPr>
        <w:t>, UnionPay отказалась сотрудничать с банками, попавшими под санкции, из-за угрозы вторичных санкций.</w:t>
      </w: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lang w:eastAsia="en-US"/>
        </w:rPr>
        <w:t>Китай рассматривает Россию, как источник с дешевыми ресурсами, как политического товарища (не друга), чтоб через политические рычаги иметь военное прикрытие страны с сильной армией, военными технологиями и ядерным оружием.</w:t>
      </w:r>
    </w:p>
    <w:p>
      <w:pPr>
        <w:ind w:firstLine="709"/>
        <w:jc w:val="both"/>
        <w:rPr>
          <w:rFonts w:hint="default" w:ascii="Times New Roman" w:hAnsi="Times New Roman" w:cs="Times New Roman" w:eastAsiaTheme="minorHAnsi"/>
          <w:sz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sz w:val="28"/>
          <w:lang w:eastAsia="en-US"/>
        </w:rPr>
        <w:t>Таким образом, усиление Китая далеко не во всех случаях несет однозначно позитивные последствия для России. И к одной экономике свести все невозможно, тем более, что в модели китайско-российского экономического сотрудничества Россия остается на подчиненных позициях. Китай старается занять максимально гибкую позицию, потому что пока не может отказаться от американских рынков и технологий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lang w:val="en-US" w:eastAsia="en-US"/>
        </w:rPr>
        <w:t>[7]</w:t>
      </w:r>
      <w:r>
        <w:rPr>
          <w:rFonts w:hint="default" w:ascii="Times New Roman" w:hAnsi="Times New Roman" w:cs="Times New Roman" w:eastAsiaTheme="minorHAnsi"/>
          <w:sz w:val="28"/>
          <w:lang w:val="ru-RU" w:eastAsia="en-US"/>
        </w:rPr>
        <w:t>.</w:t>
      </w:r>
    </w:p>
    <w:p>
      <w:pPr>
        <w:rPr>
          <w:rFonts w:hint="default" w:ascii="Times New Roman" w:hAnsi="Times New Roman" w:cs="Times New Roman" w:eastAsiaTheme="minorHAnsi"/>
          <w:sz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lang w:eastAsia="en-US"/>
        </w:rPr>
        <w:br w:type="page"/>
      </w:r>
    </w:p>
    <w:p>
      <w:pPr>
        <w:ind w:firstLine="709"/>
        <w:jc w:val="center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Список использованной литературы</w:t>
      </w:r>
    </w:p>
    <w:p>
      <w:pPr>
        <w:ind w:firstLine="709"/>
        <w:jc w:val="center"/>
        <w:rPr>
          <w:rFonts w:ascii="Times New Roman" w:hAnsi="Times New Roman" w:cs="Times New Roman" w:eastAsiaTheme="minorHAnsi"/>
          <w:sz w:val="28"/>
          <w:lang w:eastAsia="en-US"/>
        </w:rPr>
      </w:pP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Культурная интеграция России и Китая направлена на процветание обеих стран. Российская газета.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Костин К.Б., Костина П.Г., Фридман А.Р. </w:t>
      </w:r>
      <w:r>
        <w:fldChar w:fldCharType="begin"/>
      </w:r>
      <w:r>
        <w:instrText xml:space="preserve"> HYPERLINK "http://dx.doi.org/10.18334/eo.13.2.117834" \t "https://1economic.ru/lib/_blank" </w:instrText>
      </w:r>
      <w:r>
        <w:fldChar w:fldCharType="separate"/>
      </w:r>
      <w:r>
        <w:rPr>
          <w:rFonts w:ascii="Times New Roman" w:hAnsi="Times New Roman" w:cs="Times New Roman" w:eastAsiaTheme="minorHAnsi"/>
          <w:sz w:val="28"/>
          <w:lang w:eastAsia="en-US"/>
        </w:rPr>
        <w:t>Развитие международного технологического обмена между Российской Федерацией и Китайской Народной Республикой</w:t>
      </w:r>
      <w:r>
        <w:rPr>
          <w:rFonts w:ascii="Times New Roman" w:hAnsi="Times New Roman" w:cs="Times New Roman" w:eastAsiaTheme="minorHAnsi"/>
          <w:sz w:val="28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sz w:val="28"/>
          <w:lang w:eastAsia="en-US"/>
        </w:rPr>
        <w:t> // Экономические отношения. – 2023. – № 2. – c. 333-354. – doi: 10.18334/eo.13.2.117834.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Муратшина, К. Г.  Международные отношения. Российско-китайские отношения в конце XX — начале XXI веков : учебное пособие для вузов / К. Г. Муратшина ; под научной редакцией В. И. Михайленко. — 2-е изд. — Москва : Издательство Юрайт, 2023.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Вардомский Л. Б. (2023). Российско- китайские экономические связи в условиях растущей международной напряженности // Журнал Новой экономической ассоциации. № 1 (58). С. 142–148. DOI: 10.31737/22212264_2023_1_142.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У Ци, Лю Бовэнь. Китайско-российское экономическое и торговое сотрудничество на фоне «Одного пояса и одного пути» // Экономика: вчера, сегодня, завтра. 2023. Том 13. № 8А. С. 72-80.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 xml:space="preserve">Гао, Жуйкай. Укрепление сотрудничества Китая и России: история и перспективы / Жуйкай Гао. — Текст : непосредственный // Молодой ученый. — 2023. — № 35 (482). — С. 125-128. 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Подберезкина О., Сазонов С. Российско-китайское сотрудничество в области транспорта и логистики. В новых геополитических условиях в 2022–2023 гг. Обозреватель-Observer. 2023;(3):44-55.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Брагин Д.А. Перспективы российско-китайских экономических отношений в условиях трансформации мировой экономики // Вестник Академии знаний. 2022. № 3 (50). С. 77–84.</w:t>
      </w:r>
    </w:p>
    <w:sectPr>
      <w:pgSz w:w="11906" w:h="16838"/>
      <w:pgMar w:top="1417" w:right="567" w:bottom="1134" w:left="1701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971C5"/>
    <w:multiLevelType w:val="singleLevel"/>
    <w:tmpl w:val="ADA971C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99E6818"/>
    <w:multiLevelType w:val="singleLevel"/>
    <w:tmpl w:val="599E681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67AA7"/>
    <w:rsid w:val="00095AE7"/>
    <w:rsid w:val="0018471B"/>
    <w:rsid w:val="001E1F76"/>
    <w:rsid w:val="0027680E"/>
    <w:rsid w:val="002D695B"/>
    <w:rsid w:val="003941B7"/>
    <w:rsid w:val="00445799"/>
    <w:rsid w:val="005672C3"/>
    <w:rsid w:val="005C3F6E"/>
    <w:rsid w:val="005D0133"/>
    <w:rsid w:val="0089536B"/>
    <w:rsid w:val="008C2463"/>
    <w:rsid w:val="0099028E"/>
    <w:rsid w:val="009C36EB"/>
    <w:rsid w:val="009C3D94"/>
    <w:rsid w:val="00A160E0"/>
    <w:rsid w:val="00C9142F"/>
    <w:rsid w:val="00C967ED"/>
    <w:rsid w:val="00D87E9E"/>
    <w:rsid w:val="00E0181D"/>
    <w:rsid w:val="00E93ECF"/>
    <w:rsid w:val="482D1D72"/>
    <w:rsid w:val="71EF5DD0"/>
    <w:rsid w:val="7B023A46"/>
    <w:rsid w:val="7DB67AA7"/>
    <w:rsid w:val="7DCB7CB3"/>
    <w:rsid w:val="7E0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paragraph" w:styleId="2">
    <w:name w:val="heading 3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Товарооборот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103</c:v>
                </c:pt>
                <c:pt idx="1">
                  <c:v>140</c:v>
                </c:pt>
                <c:pt idx="2">
                  <c:v>190</c:v>
                </c:pt>
                <c:pt idx="3">
                  <c:v>218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  <c:pt idx="2">
                  <c:v>48</c:v>
                </c:pt>
                <c:pt idx="3">
                  <c:v>101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50</c:v>
                </c:pt>
                <c:pt idx="1">
                  <c:v>56</c:v>
                </c:pt>
                <c:pt idx="2">
                  <c:v>61</c:v>
                </c:pt>
                <c:pt idx="3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81942624"/>
        <c:axId val="-1081944800"/>
      </c:barChart>
      <c:catAx>
        <c:axId val="-108194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081944800"/>
        <c:crosses val="autoZero"/>
        <c:auto val="1"/>
        <c:lblAlgn val="ctr"/>
        <c:lblOffset val="100"/>
        <c:noMultiLvlLbl val="0"/>
      </c:catAx>
      <c:valAx>
        <c:axId val="-108194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0819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sz="12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1351</Words>
  <Characters>9036</Characters>
  <Lines>75</Lines>
  <Paragraphs>20</Paragraphs>
  <TotalTime>57</TotalTime>
  <ScaleCrop>false</ScaleCrop>
  <LinksUpToDate>false</LinksUpToDate>
  <CharactersWithSpaces>10367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2024-03-01T15:55:00Z</dcterms:created>
  <dc:creator>Админ</dc:creator>
  <cp:lastModifiedBy>Зарина Атнагулова</cp:lastModifiedBy>
  <dcterms:modified xsi:type="dcterms:W3CDTF">2024-04-05T15:54:54Z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47741E21AEE3482C854A867D8DE6861A_11</vt:lpwstr>
  </property>
</Properties>
</file>