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5B" w:rsidRPr="001F3BA3" w:rsidRDefault="0055205B" w:rsidP="001F3BA3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394BCA90" wp14:editId="2BA6C404">
            <wp:simplePos x="0" y="0"/>
            <wp:positionH relativeFrom="column">
              <wp:posOffset>4676140</wp:posOffset>
            </wp:positionH>
            <wp:positionV relativeFrom="paragraph">
              <wp:posOffset>33020</wp:posOffset>
            </wp:positionV>
            <wp:extent cx="1066800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BA8ECB" wp14:editId="0B04C436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828800" cy="342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BA3" w:rsidRDefault="001F3BA3" w:rsidP="0055205B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F3BA3" w:rsidRDefault="001F3BA3" w:rsidP="0055205B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F3BA3" w:rsidRDefault="00370635" w:rsidP="001F3BA3">
      <w:pPr>
        <w:ind w:firstLine="709"/>
        <w:jc w:val="both"/>
        <w:rPr>
          <w:b/>
        </w:rPr>
      </w:pPr>
      <w:r w:rsidRPr="00370635">
        <w:rPr>
          <w:b/>
        </w:rPr>
        <w:t xml:space="preserve"> </w:t>
      </w:r>
      <w:r w:rsidR="001F3BA3" w:rsidRPr="00370635">
        <w:rPr>
          <w:b/>
        </w:rPr>
        <w:t>«Актуальные проблемы договорных отношений Заказчика и Поставщика в современной контрактной системе»</w:t>
      </w:r>
    </w:p>
    <w:p w:rsidR="00370635" w:rsidRPr="00370635" w:rsidRDefault="00370635" w:rsidP="001F3BA3">
      <w:pPr>
        <w:ind w:firstLine="709"/>
        <w:jc w:val="both"/>
        <w:rPr>
          <w:b/>
        </w:rPr>
      </w:pPr>
    </w:p>
    <w:p w:rsidR="001F3BA3" w:rsidRPr="001F3BA3" w:rsidRDefault="001F3BA3" w:rsidP="001F3BA3">
      <w:pPr>
        <w:ind w:firstLine="709"/>
        <w:jc w:val="both"/>
      </w:pPr>
      <w:r w:rsidRPr="001F3BA3">
        <w:t>Актуальность выбранной темы обусловлено тем, что в текущее время наше государство терпит большое количество экономических потрясений. Государственный закупки, по моему мнению, является одним из мощных инструментов для регулированию внутренних экономических процессов, поднятию отраслей, находящихся в упадке.</w:t>
      </w:r>
      <w:r>
        <w:t xml:space="preserve"> Для достижения эффективного роста контрактной системы в Российской Федерации необходимо четкое регулирование договорных отношений в данной сфере.</w:t>
      </w:r>
    </w:p>
    <w:p w:rsidR="001F3BA3" w:rsidRDefault="001F3BA3" w:rsidP="001F3BA3">
      <w:pPr>
        <w:ind w:firstLine="709"/>
        <w:jc w:val="both"/>
      </w:pPr>
      <w:r w:rsidRPr="001F3BA3">
        <w:t xml:space="preserve">Целью работы является </w:t>
      </w:r>
      <w:r>
        <w:t>изучение актуальной</w:t>
      </w:r>
      <w:r w:rsidRPr="001F3BA3">
        <w:t xml:space="preserve"> </w:t>
      </w:r>
      <w:r>
        <w:t>проблематики</w:t>
      </w:r>
      <w:r w:rsidRPr="001F3BA3">
        <w:t xml:space="preserve"> договорных отношений в контрактной системе Российской Федерации.</w:t>
      </w:r>
    </w:p>
    <w:p w:rsidR="001F3BA3" w:rsidRPr="001F3BA3" w:rsidRDefault="001F3BA3" w:rsidP="001F3BA3">
      <w:pPr>
        <w:ind w:firstLine="709"/>
        <w:jc w:val="both"/>
      </w:pPr>
      <w:r>
        <w:t>На практике можно выделить три основные проблемы современных договорных отношений в контрактной сфере:</w:t>
      </w:r>
    </w:p>
    <w:p w:rsidR="001A6827" w:rsidRDefault="001A6827" w:rsidP="001A6827">
      <w:pPr>
        <w:ind w:firstLine="709"/>
        <w:jc w:val="both"/>
      </w:pPr>
      <w:r>
        <w:t>1. Запрет на редактирование договорных условий в типовых формах законодателя.</w:t>
      </w:r>
    </w:p>
    <w:p w:rsidR="001A6827" w:rsidRDefault="001A6827" w:rsidP="001A6827">
      <w:pPr>
        <w:ind w:firstLine="709"/>
        <w:jc w:val="both"/>
      </w:pPr>
      <w:r>
        <w:t>Юридическая природа несправедливых договорных условий, установленных в типовых формах государственных контрактов, включает два элемента: существенный дисбаланс интересов сторон обязательства и недобросовестное поведение сильной стороны, использующей явное неравенство переговорных возможностей</w:t>
      </w:r>
      <w:r>
        <w:rPr>
          <w:rStyle w:val="af1"/>
        </w:rPr>
        <w:footnoteReference w:id="1"/>
      </w:r>
    </w:p>
    <w:p w:rsidR="001A6827" w:rsidRDefault="001A6827" w:rsidP="001A6827">
      <w:pPr>
        <w:ind w:firstLine="709"/>
        <w:jc w:val="both"/>
      </w:pPr>
      <w:r>
        <w:t>Вопрос реализации Постановления Пленума ВАС РФ о свободе договора и ее пределах применительно к сфере публичных закупок остается открытым с точки зрения законодательства о контрактной системе и практики его применения.</w:t>
      </w:r>
    </w:p>
    <w:p w:rsidR="001A6827" w:rsidRDefault="001A6827" w:rsidP="001A6827">
      <w:pPr>
        <w:ind w:firstLine="709"/>
        <w:jc w:val="both"/>
      </w:pPr>
      <w:r>
        <w:t>Типовые контракты и условия, применение которых заказчиками является обязательным в силу предписаний законодательства, существенно ограничены, поэтому свобода договора на стадии определения поставщика даже заказчика оказывается почти полностью заблокированной.</w:t>
      </w:r>
    </w:p>
    <w:p w:rsidR="001A6827" w:rsidRDefault="001A6827" w:rsidP="001A6827">
      <w:pPr>
        <w:ind w:firstLine="709"/>
        <w:jc w:val="both"/>
      </w:pPr>
      <w:r>
        <w:t>Таким образом, получается, что Законодатель по типовым контрактам полностью бюрократизировал и формализовал отношения между заказчиком и поставщиком, и как результат, следует получение не качественного обеспечения государственных нужд товарами, работами, услугами, поскольку некоторые положения договора в связи с обновлением законодательства не вносятся в типовую форму.</w:t>
      </w:r>
    </w:p>
    <w:p w:rsidR="001A6827" w:rsidRDefault="001A6827" w:rsidP="001A6827">
      <w:pPr>
        <w:ind w:firstLine="709"/>
        <w:jc w:val="both"/>
      </w:pPr>
      <w:r>
        <w:t>2. Положения о списании неустойки в условиях договора.</w:t>
      </w:r>
    </w:p>
    <w:p w:rsidR="001A6827" w:rsidRDefault="001A6827" w:rsidP="001A6827">
      <w:pPr>
        <w:ind w:firstLine="709"/>
        <w:jc w:val="both"/>
      </w:pPr>
      <w:r>
        <w:t>Распространенной практикой заказчиков является определение в контракте условия об освобождении от ответственности за просрочку в оплате исполненных обязательств в случае недостаточного бюджетного финансирования.</w:t>
      </w:r>
    </w:p>
    <w:p w:rsidR="001A6827" w:rsidRDefault="001A6827" w:rsidP="001A6827">
      <w:pPr>
        <w:ind w:firstLine="709"/>
        <w:jc w:val="both"/>
      </w:pPr>
      <w:r>
        <w:t>На этапе определения поставщика участники закупки успешно обжалуют подобные контрактные условия. Контрольные органы в сфере закупок признают такие условия не соответствующими императивным нормам Закона N 44-ФЗ об ответственности заказчика (ч. 5 ст. 34)</w:t>
      </w:r>
      <w:r>
        <w:rPr>
          <w:rStyle w:val="af1"/>
        </w:rPr>
        <w:footnoteReference w:id="2"/>
      </w:r>
      <w:r>
        <w:t>. Однако такие жалобы, в отличие от количества сходных споров, которые рассматривают арбитражные суды, носят единичный характер.</w:t>
      </w:r>
    </w:p>
    <w:p w:rsidR="001A6827" w:rsidRDefault="001A6827" w:rsidP="001A6827">
      <w:pPr>
        <w:ind w:firstLine="709"/>
        <w:jc w:val="both"/>
      </w:pPr>
      <w:r>
        <w:t>Так, по одному из дел, рассмотренных арбитражным судом кассационной инстанции, заказчик частично оплатил выполненные подрядчиком работы. Остальная сумма задолженности была погашена заказчиком с просрочкой.</w:t>
      </w:r>
    </w:p>
    <w:p w:rsidR="001A6827" w:rsidRDefault="001A6827" w:rsidP="001A6827">
      <w:pPr>
        <w:ind w:firstLine="709"/>
        <w:jc w:val="both"/>
      </w:pPr>
      <w:r>
        <w:t>Условиями контракта была предусмотрена ответственность заказчика в случае просрочки исполнения и оговорка об освобождении заказчика от ответственности в случае недофинансирования. Подрядная организация потребовала в суде от заказчика пени в отношении периода просрочки, допущенного заказчиком.</w:t>
      </w:r>
    </w:p>
    <w:p w:rsidR="001A6827" w:rsidRDefault="001A6827" w:rsidP="001A6827">
      <w:pPr>
        <w:ind w:firstLine="709"/>
        <w:jc w:val="both"/>
      </w:pPr>
      <w:r>
        <w:t xml:space="preserve">Суд отказал лицу в удовлетворении кассационной жалобы, мотивируя решение ссылкой на </w:t>
      </w:r>
      <w:r>
        <w:lastRenderedPageBreak/>
        <w:t>п. 4 Постановления Пленума ВАС РФ о свободе договора, предусматривающий, что отсутствие в норме явно выраженного запрета и критериев ее императивности должно влечь за собой квалификацию такой нормы как диспозитивной. По мнению суда, включение заказчиком в контракт условия об освобождении его от ответственности в случае отсутствия финансирования не противоречит п. 1 ст. 314 и п. 1 ст. 746 ГК РФ и отвечает требованиям ст. 421 ГК РФ &lt;11&gt;.</w:t>
      </w:r>
      <w:r>
        <w:rPr>
          <w:rStyle w:val="af1"/>
        </w:rPr>
        <w:footnoteReference w:id="3"/>
      </w:r>
    </w:p>
    <w:p w:rsidR="001A6827" w:rsidRDefault="001A6827" w:rsidP="001A6827">
      <w:pPr>
        <w:ind w:firstLine="709"/>
        <w:jc w:val="both"/>
      </w:pPr>
      <w:r>
        <w:t>Таким образом, Заказчик смог самостоятельно предусмотреть и включить в условия контракта, что Поставщику, например, сделать невозможно.</w:t>
      </w:r>
    </w:p>
    <w:p w:rsidR="001A6827" w:rsidRDefault="001A6827" w:rsidP="001A6827">
      <w:pPr>
        <w:ind w:firstLine="709"/>
        <w:jc w:val="both"/>
      </w:pPr>
      <w:r>
        <w:t>При этом, в практике существуют рекомендации по списанию неустойки с Поставщика, предусмотренные Правилами постановлением Правительства Российской Федерации от 4 июля 2018 г. № 783 , если неустойка не превышает 5% от суммы самого контракта, то ее списывают полностью, или если общая сумма начисленных и неуплаченных неустоек превышает 5% цены контракта, но составляет не более 20% цены контракта, заказчик осуществляет списание 50% сумм неустоек при условии уплаты 50% неустоек , установленным Заказчиком.</w:t>
      </w:r>
    </w:p>
    <w:p w:rsidR="001A6827" w:rsidRDefault="001A6827" w:rsidP="001A6827">
      <w:pPr>
        <w:ind w:firstLine="709"/>
        <w:jc w:val="both"/>
      </w:pPr>
      <w:r>
        <w:t xml:space="preserve">Но при этом, Верховный суд Российской Федерации напомнил, спор о неустойке не мешает суду признать право на ее списание. Норма, предусмотренная п. 7 Правил, утвержденные ПП РФ № </w:t>
      </w:r>
      <w:proofErr w:type="gramStart"/>
      <w:r>
        <w:t>783 ,</w:t>
      </w:r>
      <w:proofErr w:type="gramEnd"/>
      <w:r>
        <w:t xml:space="preserve"> которая запрещает списывать неустойку, если контрагент не подтвердил ее наличие, касается только решения заказчика.</w:t>
      </w:r>
    </w:p>
    <w:p w:rsidR="001A6827" w:rsidRDefault="001A6827" w:rsidP="001A6827">
      <w:pPr>
        <w:ind w:firstLine="709"/>
        <w:jc w:val="both"/>
      </w:pPr>
      <w:r>
        <w:t>Таким образом, Государственный заказчик имеет полное право оградить себя от взыскании неустойки, при условии отсутствия финансирования, например, а также распоряжаться согласованием списании неустойки с Поставщика, что является явным дисбалансом в правоприменительной практике, проблемным моментом</w:t>
      </w:r>
    </w:p>
    <w:p w:rsidR="001A6827" w:rsidRDefault="001A6827" w:rsidP="001A6827">
      <w:pPr>
        <w:ind w:firstLine="709"/>
        <w:jc w:val="both"/>
      </w:pPr>
      <w:r>
        <w:t>3. Проблематика, связанная с этапом исполнения договорных отношений государственных контрактов.</w:t>
      </w:r>
    </w:p>
    <w:p w:rsidR="001A6827" w:rsidRDefault="001A6827" w:rsidP="001A6827">
      <w:pPr>
        <w:ind w:firstLine="709"/>
        <w:jc w:val="both"/>
      </w:pPr>
      <w:r>
        <w:t>Проблематика исполнения договорных отношений занимает значительный пласт выявленной в ходе анализа правоприменительной практики.</w:t>
      </w:r>
    </w:p>
    <w:p w:rsidR="001A6827" w:rsidRDefault="001A6827" w:rsidP="001A6827">
      <w:pPr>
        <w:ind w:firstLine="709"/>
        <w:jc w:val="both"/>
      </w:pPr>
      <w:r>
        <w:t>Например, рассмотрим пример из собственной практики: участник выиграл закупку на поставку дров, 16.02.2024 подписал контракт. Срок исполнения контракта по его условиям — 10 календарных дней. За сутки Поставщик обязан предупредить Заказчика о намерении поставить товар.</w:t>
      </w:r>
    </w:p>
    <w:p w:rsidR="001A6827" w:rsidRDefault="001A6827" w:rsidP="001A6827">
      <w:pPr>
        <w:ind w:firstLine="709"/>
        <w:jc w:val="both"/>
      </w:pPr>
      <w:r>
        <w:t>По истечении 10 календарных дней, отведенных на поставку товара, Заказчик пытается связаться с Поставщиком. Телефон отключен, на письма, направленные по электронной почте не отвечает, в претензионную переписку в ЕИС не вступает.</w:t>
      </w:r>
    </w:p>
    <w:p w:rsidR="001A6827" w:rsidRDefault="001A6827" w:rsidP="001A6827">
      <w:pPr>
        <w:ind w:firstLine="709"/>
        <w:jc w:val="both"/>
      </w:pPr>
      <w:r>
        <w:t>Далее, на электронную почту Заказчика приходит сообщение о том, что Поставщик убыл на воинскую службу с копией подписанного контракта, при актуализации данных о Поставщике выясняется, что он прекратил свой статус индивидуального предпринимателя 19.02.2024. В связи с этим, Заказчику, в силу 44-ФЗ, пришлось одностороннее расторгать договор, с передачей информации в территориальное УФАС.</w:t>
      </w:r>
    </w:p>
    <w:p w:rsidR="001A6827" w:rsidRDefault="001A6827" w:rsidP="001A6827">
      <w:pPr>
        <w:ind w:firstLine="709"/>
        <w:jc w:val="both"/>
      </w:pPr>
      <w:r>
        <w:t>На основании Решения УФАС по Свердловской области, односторонний отказ Заказчика от исполнения контракта признать законным, а Поставщика, в связи с ликвидацией, в реестр недобросовестных поставщиком не вносить.</w:t>
      </w:r>
    </w:p>
    <w:p w:rsidR="001A6827" w:rsidRDefault="001A6827" w:rsidP="001A6827">
      <w:pPr>
        <w:ind w:firstLine="709"/>
        <w:jc w:val="both"/>
      </w:pPr>
      <w:r>
        <w:t>На первый взгляд, теоретически Заказчик не понес никаких убытков в данной ситуации.</w:t>
      </w:r>
    </w:p>
    <w:p w:rsidR="001A6827" w:rsidRDefault="001A6827" w:rsidP="001A6827">
      <w:pPr>
        <w:ind w:firstLine="709"/>
        <w:jc w:val="both"/>
      </w:pPr>
      <w:r>
        <w:t>Но на практике, Заказчику данное расторжение принесло материальные убытки, в связи с приобретением дров у другого поставщика по неконкурентной закупе, так как еще длился отопительный сезон.</w:t>
      </w:r>
    </w:p>
    <w:p w:rsidR="001A6827" w:rsidRDefault="001A6827" w:rsidP="001A6827">
      <w:pPr>
        <w:ind w:firstLine="709"/>
        <w:jc w:val="both"/>
      </w:pPr>
      <w:r>
        <w:t>В связи с тем, что Поставщик ликвидировал себя в качестве ИП, Заказчик потерял право на заключение контракта со вторым участником торгов, потому что из закона прямо следует, что это возможно только после внесения победителя в РНП.</w:t>
      </w:r>
    </w:p>
    <w:p w:rsidR="001A6827" w:rsidRDefault="001A6827" w:rsidP="001A6827">
      <w:pPr>
        <w:ind w:firstLine="709"/>
        <w:jc w:val="both"/>
      </w:pPr>
      <w:r>
        <w:t>Также стоит отметить, проблему растянутых сроков (в данном случае 10 рабочих дней) на этапе одностороннего расторжения или отказа от исполнения контракта.</w:t>
      </w:r>
    </w:p>
    <w:p w:rsidR="001A6827" w:rsidRDefault="001A6827" w:rsidP="001A6827">
      <w:pPr>
        <w:ind w:firstLine="709"/>
        <w:jc w:val="both"/>
      </w:pPr>
      <w:r>
        <w:t>Из анализа правоприменительной практики, можно сделать вывод, что не все случаи одностороннего расторжения или отказа от исполнения контракта должны выдерживать данный срок. Такие случаи, как вышеупомянутые, или, например, в связи со смертью Исполнителя должны расторгаться в более короткие сроки, так как времени на ожидания возражений от Поставщика или поставки товара, исполнения услуг, выполнения работ не требуется.</w:t>
      </w:r>
    </w:p>
    <w:p w:rsidR="001A6827" w:rsidRDefault="001A6827" w:rsidP="001A6827">
      <w:pPr>
        <w:ind w:firstLine="709"/>
        <w:jc w:val="both"/>
      </w:pPr>
      <w:r>
        <w:t>Такой пример в правоприменительной практике не единичный, поэтому Заказчик в этой связи остается в более зависимом положении от действий Поставщика и не может повлиять на ход его исполнения договорных отношений. Даже если исполнение контракта ограничено сроками.</w:t>
      </w:r>
    </w:p>
    <w:p w:rsidR="001A6827" w:rsidRDefault="001A6827" w:rsidP="001A6827">
      <w:pPr>
        <w:ind w:firstLine="709"/>
        <w:jc w:val="both"/>
      </w:pPr>
      <w:r>
        <w:t>В ходе исполнения договорных отношений, в рамках заключенного контракта для обеспечения государственных и муниципальных нужд, основным этапом является приемка поставленного товара.</w:t>
      </w:r>
    </w:p>
    <w:p w:rsidR="001A6827" w:rsidRDefault="001A6827" w:rsidP="001A6827">
      <w:pPr>
        <w:ind w:firstLine="709"/>
        <w:jc w:val="both"/>
      </w:pPr>
      <w:r>
        <w:t>Тут снова можно отметить переход лидирующего положения в договорных отношениях к Государственному заказчику, поскольку именно он принимает решение о сроках отведенных своей комиссии на проверку качества товара, а Поставщику сроках передачи в электронном виде документов для оплаты.</w:t>
      </w:r>
    </w:p>
    <w:p w:rsidR="001A6827" w:rsidRDefault="001A6827" w:rsidP="001A6827">
      <w:pPr>
        <w:ind w:firstLine="709"/>
        <w:jc w:val="both"/>
      </w:pPr>
      <w:r>
        <w:t>В зависимости от Закона на основании которого была проведена конкурентная или неконкурентная закупка и заключен контракт сроки приемки товара существенно различаются.</w:t>
      </w:r>
    </w:p>
    <w:p w:rsidR="001A6827" w:rsidRDefault="001A6827" w:rsidP="001A6827">
      <w:pPr>
        <w:ind w:firstLine="709"/>
        <w:jc w:val="both"/>
      </w:pPr>
      <w:r>
        <w:t>Для заказчиков по 44-ФЗ он ограничивается 20 рабочими днями, в то же время Заказчики по 223-ФЗ вправе установить любой срок приемки товаров в договоре.</w:t>
      </w:r>
    </w:p>
    <w:p w:rsidR="001A6827" w:rsidRDefault="001A6827" w:rsidP="001A6827">
      <w:pPr>
        <w:ind w:firstLine="709"/>
        <w:jc w:val="both"/>
      </w:pPr>
      <w:r>
        <w:t>В большинстве, у Заказчиков по 223-ФЗ есть свои разработанные на основе 223-ФЗ стандарты закупок. Например, Положение о закупке товаров, работ, услуг государственной корпорации по космической деятельности "</w:t>
      </w:r>
      <w:proofErr w:type="spellStart"/>
      <w:r>
        <w:t>Роскосмос</w:t>
      </w:r>
      <w:proofErr w:type="spellEnd"/>
      <w:proofErr w:type="gramStart"/>
      <w:r>
        <w:t>" .</w:t>
      </w:r>
      <w:proofErr w:type="gramEnd"/>
      <w:r>
        <w:t xml:space="preserve"> (далее - Положение)</w:t>
      </w:r>
    </w:p>
    <w:p w:rsidR="001A6827" w:rsidRDefault="001A6827" w:rsidP="001A6827">
      <w:pPr>
        <w:ind w:firstLine="709"/>
        <w:jc w:val="both"/>
      </w:pPr>
      <w:r>
        <w:t>Рассматривая Положение с точки зрения проблематики правоприменительной практики, можно сделать следующие выводы:</w:t>
      </w:r>
    </w:p>
    <w:p w:rsidR="001A6827" w:rsidRDefault="001A6827" w:rsidP="001A6827">
      <w:pPr>
        <w:ind w:firstLine="709"/>
        <w:jc w:val="both"/>
      </w:pPr>
      <w:r>
        <w:t>Заказчик самостоятельно установил срок приемки товара в количестве 35 дней с момента получения отчетных документов. При этом датой поставки/выполнения работ/услуг считается дата подписания акта приемки.</w:t>
      </w:r>
    </w:p>
    <w:p w:rsidR="001A6827" w:rsidRDefault="001A6827" w:rsidP="001A6827">
      <w:pPr>
        <w:ind w:firstLine="709"/>
        <w:jc w:val="both"/>
      </w:pPr>
      <w:r>
        <w:t>Логика Поставщика при анализе правоприменительной практики ясна, ведь Гражданским кодексом Российской Федерации в статье 458 четко установлено, что если иное не предусмотрено договором купли-продажи, обязанность продавца передать товар покупателю считается исполненной в момент:</w:t>
      </w:r>
    </w:p>
    <w:p w:rsidR="001A6827" w:rsidRDefault="001A6827" w:rsidP="001A6827">
      <w:pPr>
        <w:ind w:firstLine="709"/>
        <w:jc w:val="both"/>
      </w:pPr>
      <w:r>
        <w:t>вручения товара покупателю или указанному им лицу, если договором предусмотрена обязанность продавца по доставке товара;</w:t>
      </w:r>
    </w:p>
    <w:p w:rsidR="001A6827" w:rsidRDefault="001A6827" w:rsidP="001A6827">
      <w:pPr>
        <w:ind w:firstLine="709"/>
        <w:jc w:val="both"/>
      </w:pPr>
      <w:r>
        <w:t>Одновременно Поставщик забывает, что подписывая типовой договор, срок приемки и дата поставки четко разграничены и установлены.</w:t>
      </w:r>
    </w:p>
    <w:p w:rsidR="001A6827" w:rsidRDefault="001A6827" w:rsidP="001A6827">
      <w:pPr>
        <w:ind w:firstLine="709"/>
        <w:jc w:val="both"/>
      </w:pPr>
      <w:r>
        <w:t>Свою правовую позицию Заказчики излагают следующим образом, которая оценочно является объективной:</w:t>
      </w:r>
    </w:p>
    <w:p w:rsidR="001A6827" w:rsidRDefault="001A6827" w:rsidP="001A6827">
      <w:pPr>
        <w:ind w:firstLine="709"/>
        <w:jc w:val="both"/>
      </w:pPr>
      <w:r>
        <w:t xml:space="preserve">По своей правовой природе приемка объектов материальных ценностей - деятельность, которая связана с проверкой </w:t>
      </w:r>
      <w:proofErr w:type="gramStart"/>
      <w:r>
        <w:t>соответствия</w:t>
      </w:r>
      <w:proofErr w:type="gramEnd"/>
      <w:r>
        <w:t xml:space="preserve"> поступивших на склад Покупателя товаров сведениям, указанным в документации.</w:t>
      </w:r>
    </w:p>
    <w:p w:rsidR="001A6827" w:rsidRDefault="001A6827" w:rsidP="001A6827">
      <w:pPr>
        <w:ind w:firstLine="709"/>
        <w:jc w:val="both"/>
      </w:pPr>
      <w:r>
        <w:t>Оценка соответствия качества Продукции невозможна на этапе отгрузки Покупателю, и не может быть завершением срока поставки Продукции по договору, поскольку в случае поставки Продукции не соответствующей заявленному качеству, она будет направлена обратно Поставщику, а Продукция не будет считаться принятой, но при этом, она будет доставлена к Покупателю.</w:t>
      </w:r>
    </w:p>
    <w:p w:rsidR="001A6827" w:rsidRDefault="001A6827" w:rsidP="001A6827">
      <w:pPr>
        <w:ind w:firstLine="709"/>
        <w:jc w:val="both"/>
      </w:pPr>
      <w:r>
        <w:t>В правоприменительной практике сложилось несколько подходов по данному вопросу.</w:t>
      </w:r>
    </w:p>
    <w:p w:rsidR="001A6827" w:rsidRDefault="001A6827" w:rsidP="001A6827">
      <w:pPr>
        <w:ind w:firstLine="709"/>
        <w:jc w:val="both"/>
      </w:pPr>
      <w:r>
        <w:t>Из материалов дела Судебной коллегии по экономическим спорам Верховного Суда следует, что Общество выполнило определенные работы согласно договору в рамках первого этапа, отчетные материалы (акт сдачи-приемки, технический акт, итоговый отчет и иные сведения) по заявленным этапам сданы обществом в сроки, указанные в ведомости исполнения для соответствующего этапа работ, что заказчиком не оспаривалось.</w:t>
      </w:r>
    </w:p>
    <w:p w:rsidR="001A6827" w:rsidRDefault="001A6827" w:rsidP="001A6827">
      <w:pPr>
        <w:ind w:firstLine="709"/>
        <w:jc w:val="both"/>
      </w:pPr>
      <w:r>
        <w:t>В соответствии с пунктом 5.4 контракта заказчик в течение 35 дней с момента получения отчетных документов принимает выполненные работы или предъявляет головному исполнителю обоснованные замечания и претензии по результатам выполнения работ (этапа работ). В случае обнаружения факта отступления головным исполнителем от условий контракта оформляется мотивированный отказ с перечнем недостатков и сроками их устранения.</w:t>
      </w:r>
    </w:p>
    <w:p w:rsidR="001A6827" w:rsidRDefault="001A6827" w:rsidP="001A6827">
      <w:pPr>
        <w:ind w:firstLine="709"/>
        <w:jc w:val="both"/>
      </w:pPr>
      <w:r>
        <w:t>Суды установили, что работы по этапам N 1 - 3, 5 - 7 контракта головным исполнителем выполнены в полном соответствии с техническим заданием, акты сдачи-приемки выполненных этапов работ утверждены заказчиком без замечаний.</w:t>
      </w:r>
    </w:p>
    <w:p w:rsidR="001A6827" w:rsidRDefault="001A6827" w:rsidP="001A6827">
      <w:pPr>
        <w:ind w:firstLine="709"/>
        <w:jc w:val="both"/>
      </w:pPr>
      <w:r>
        <w:t>Однако корпорация, ссылаясь на то, что в силу пункта 4.3 контракта датой исполнения обязательств головным исполнителем по этапам является дата утверждения заказчиком акта сдачи-приемки выполненного этапа работ, предъявила обществу пени на основании пункта 7.4 контракта.</w:t>
      </w:r>
    </w:p>
    <w:p w:rsidR="001A6827" w:rsidRDefault="001A6827" w:rsidP="001A6827">
      <w:pPr>
        <w:ind w:firstLine="709"/>
        <w:jc w:val="both"/>
      </w:pPr>
      <w:r>
        <w:t xml:space="preserve">Определением Судебной коллегии по экономическим спорам Верховного Суда РФ от 15.10.2019 №305-ЭС19-12786 установлено, между сторонами возникли разногласия относительно толкования условий контракта о том, когда головной исполнитель считается надлежаще исполнившим обязательства, предусмотренные контрактом, и о наличии оснований для привлечения его к ответственности выражающийся в </w:t>
      </w:r>
      <w:proofErr w:type="spellStart"/>
      <w:r>
        <w:t>в</w:t>
      </w:r>
      <w:proofErr w:type="spellEnd"/>
      <w:r>
        <w:t xml:space="preserve"> виде начисления неустойки.</w:t>
      </w:r>
    </w:p>
    <w:p w:rsidR="001A6827" w:rsidRDefault="001A6827" w:rsidP="001A6827">
      <w:pPr>
        <w:ind w:firstLine="709"/>
        <w:jc w:val="both"/>
      </w:pPr>
      <w:r>
        <w:t>Коллегия определила, что при условии выполнения работ в срок и сдаче отчетных документов, дата исполнения обязательств по отдельным этапам считавшиеся датой подписания заказчиком акта сдачи выполненного этапа работ, не должно ставить в зависимость от усмотрения заказчика период ответственности исполнителя за нарушение сроков выполнения работ.</w:t>
      </w:r>
    </w:p>
    <w:p w:rsidR="001A6827" w:rsidRDefault="001A6827" w:rsidP="001A6827">
      <w:pPr>
        <w:ind w:firstLine="709"/>
        <w:jc w:val="both"/>
      </w:pPr>
      <w:r>
        <w:t>Таким образом, при расчете заказчиком пени, начисляемой за каждый день просрочки исполнения обязательства, в период просрочки исполнения обязательства не подлежат включению дни, потребовавшиеся заказчику для приемки выполненной работы (ее результатов) и оформления итогов такой приемки.</w:t>
      </w:r>
    </w:p>
    <w:p w:rsidR="001A6827" w:rsidRDefault="001A6827" w:rsidP="001A6827">
      <w:pPr>
        <w:ind w:firstLine="709"/>
        <w:jc w:val="both"/>
      </w:pPr>
      <w:r>
        <w:t>Имеется пример судебной практики, где Поставщик ошибочно применил Определение Судебной коллегии по экономическим спорам Верховного Суда РФ от 15.10.2019 №305-ЭС19-12786 по отношению к себе.</w:t>
      </w:r>
    </w:p>
    <w:p w:rsidR="001A6827" w:rsidRDefault="001A6827" w:rsidP="001A6827">
      <w:pPr>
        <w:ind w:firstLine="709"/>
        <w:jc w:val="both"/>
      </w:pPr>
      <w:r>
        <w:t>В материалах дела установлено, что Поставщик поставил Продукцию с нарушением сроков поставки (28.12.2022 вместо 01.12.2022). Датой поставки товара считается дата прохождения входного контроля без замечаний.</w:t>
      </w:r>
    </w:p>
    <w:p w:rsidR="001A6827" w:rsidRDefault="001A6827" w:rsidP="001A6827">
      <w:pPr>
        <w:ind w:firstLine="709"/>
        <w:jc w:val="both"/>
      </w:pPr>
      <w:r>
        <w:t>Продукция прошла входной контроль, согласно стандарту корпорации в течении 13 рабочих дней и датируется 18.01.2023.</w:t>
      </w:r>
    </w:p>
    <w:p w:rsidR="001A6827" w:rsidRDefault="001A6827" w:rsidP="001A6827">
      <w:pPr>
        <w:ind w:firstLine="709"/>
        <w:jc w:val="both"/>
      </w:pPr>
      <w:r>
        <w:t>Поскольку товар был поставлен с нарушением сроков, Заказчиком была начислена неустойка, с чем не согласился Поставщик и обратился в суд.</w:t>
      </w:r>
    </w:p>
    <w:p w:rsidR="001A6827" w:rsidRDefault="001A6827" w:rsidP="001A6827">
      <w:pPr>
        <w:ind w:firstLine="709"/>
        <w:jc w:val="both"/>
      </w:pPr>
      <w:r>
        <w:t>Решением Арбитражного суда Свердловской области № А60-34227/2023 от 30.11.2023 пришел к выводу о верных действиях Заказчика выраженных в начислении неустойки, поскольку Поставщиком был нарушен срок поставки Продукции. Постановлением № 17АП-669/2024(</w:t>
      </w:r>
      <w:proofErr w:type="gramStart"/>
      <w:r>
        <w:t>1)-</w:t>
      </w:r>
      <w:proofErr w:type="gramEnd"/>
      <w:r>
        <w:t>АК Семнадцатого Арбитражного апелляционного суда решением признано обоснованным, изменению не подлежало.</w:t>
      </w:r>
    </w:p>
    <w:p w:rsidR="001F3BA3" w:rsidRDefault="001A6827" w:rsidP="00370635">
      <w:pPr>
        <w:ind w:firstLine="709"/>
        <w:jc w:val="both"/>
      </w:pPr>
      <w:r>
        <w:t>В процессе анализа проблематики правоприменительной практики можно сделать вывод о том, что законодательство в сфере закупок является достаточно динамичной отраслью права, постоянно развивающейся, поэтому и недоработки в части регулирования договорных отношений имеются.</w:t>
      </w:r>
      <w:bookmarkStart w:id="0" w:name="_GoBack"/>
      <w:bookmarkEnd w:id="0"/>
    </w:p>
    <w:sectPr w:rsidR="001F3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EC" w:rsidRDefault="003052EC" w:rsidP="001A6827">
      <w:r>
        <w:separator/>
      </w:r>
    </w:p>
  </w:endnote>
  <w:endnote w:type="continuationSeparator" w:id="0">
    <w:p w:rsidR="003052EC" w:rsidRDefault="003052EC" w:rsidP="001A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EC" w:rsidRDefault="003052EC" w:rsidP="001A6827">
      <w:r>
        <w:separator/>
      </w:r>
    </w:p>
  </w:footnote>
  <w:footnote w:type="continuationSeparator" w:id="0">
    <w:p w:rsidR="003052EC" w:rsidRDefault="003052EC" w:rsidP="001A6827">
      <w:r>
        <w:continuationSeparator/>
      </w:r>
    </w:p>
  </w:footnote>
  <w:footnote w:id="1">
    <w:p w:rsidR="001A6827" w:rsidRDefault="001A6827">
      <w:pPr>
        <w:pStyle w:val="af"/>
      </w:pPr>
      <w:r>
        <w:rPr>
          <w:rStyle w:val="af1"/>
        </w:rPr>
        <w:footnoteRef/>
      </w:r>
      <w:r>
        <w:t xml:space="preserve"> См.: Постановление Правительства РФ от 2 июля 2014 г. N 606 "О порядке разработки типовых контрактов, типовых условий контрактов, а также о случаях и условиях их применения" (вместе с Правилами разработки типовых контрактов, типовых условий контрактов) (п. 6) // СЗ РФ. 2014. N 28. Ст. 4053.</w:t>
      </w:r>
    </w:p>
  </w:footnote>
  <w:footnote w:id="2">
    <w:p w:rsidR="001A6827" w:rsidRDefault="001A6827">
      <w:pPr>
        <w:pStyle w:val="af"/>
      </w:pPr>
      <w:r>
        <w:rPr>
          <w:rStyle w:val="af1"/>
        </w:rPr>
        <w:footnoteRef/>
      </w:r>
      <w:r>
        <w:t xml:space="preserve"> См.: решение ФАС России от 5 декабря 2014 г. по делу N К-1798/14; решение УФАС России по Ростовской области от 8 апреля 2014 г. N 6062/03 по делу N 538/03.</w:t>
      </w:r>
    </w:p>
  </w:footnote>
  <w:footnote w:id="3">
    <w:p w:rsidR="001A6827" w:rsidRDefault="001A6827">
      <w:pPr>
        <w:pStyle w:val="af"/>
      </w:pPr>
      <w:r>
        <w:rPr>
          <w:rStyle w:val="af1"/>
        </w:rPr>
        <w:footnoteRef/>
      </w:r>
      <w:r>
        <w:t xml:space="preserve"> </w:t>
      </w:r>
      <w:r w:rsidRPr="001A6827">
        <w:t xml:space="preserve"> См.: Постановление Арбитражного суда </w:t>
      </w:r>
      <w:proofErr w:type="gramStart"/>
      <w:r w:rsidRPr="001A6827">
        <w:t>Восточно-Сибирского</w:t>
      </w:r>
      <w:proofErr w:type="gramEnd"/>
      <w:r w:rsidRPr="001A6827">
        <w:t xml:space="preserve"> округа от 7 февраля 2018 г. по делу N А33-771/2017.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452"/>
    <w:multiLevelType w:val="hybridMultilevel"/>
    <w:tmpl w:val="768A1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B2C9F"/>
    <w:multiLevelType w:val="hybridMultilevel"/>
    <w:tmpl w:val="1D30F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4577D"/>
    <w:multiLevelType w:val="hybridMultilevel"/>
    <w:tmpl w:val="17DE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B19D2"/>
    <w:multiLevelType w:val="hybridMultilevel"/>
    <w:tmpl w:val="16F6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93D68"/>
    <w:multiLevelType w:val="hybridMultilevel"/>
    <w:tmpl w:val="078C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73AB1"/>
    <w:multiLevelType w:val="hybridMultilevel"/>
    <w:tmpl w:val="F1747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5B"/>
    <w:rsid w:val="001A6827"/>
    <w:rsid w:val="001F3BA3"/>
    <w:rsid w:val="003052EC"/>
    <w:rsid w:val="00370635"/>
    <w:rsid w:val="00412806"/>
    <w:rsid w:val="0055205B"/>
    <w:rsid w:val="006F0E0B"/>
    <w:rsid w:val="00762B6B"/>
    <w:rsid w:val="00AB743E"/>
    <w:rsid w:val="00C15776"/>
    <w:rsid w:val="00D1768D"/>
    <w:rsid w:val="00E2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46056-2E39-43B0-A0BF-55EB364E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20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520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5205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qFormat/>
    <w:locked/>
    <w:rsid w:val="0055205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55205B"/>
    <w:pPr>
      <w:ind w:left="220"/>
    </w:pPr>
  </w:style>
  <w:style w:type="character" w:styleId="a7">
    <w:name w:val="Hyperlink"/>
    <w:basedOn w:val="a0"/>
    <w:uiPriority w:val="99"/>
    <w:unhideWhenUsed/>
    <w:rsid w:val="00C15776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A682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A682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A6827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A682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A68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A68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A6827"/>
    <w:rPr>
      <w:rFonts w:ascii="Segoe UI" w:eastAsia="Times New Roman" w:hAnsi="Segoe UI" w:cs="Segoe UI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1A682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A6827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A68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6BB77-32FD-49C2-A938-F6FA7386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Рукавишникова Татьяна Александровна</dc:creator>
  <cp:keywords/>
  <dc:description/>
  <cp:lastModifiedBy>acer</cp:lastModifiedBy>
  <cp:revision>2</cp:revision>
  <cp:lastPrinted>2024-03-31T16:53:00Z</cp:lastPrinted>
  <dcterms:created xsi:type="dcterms:W3CDTF">2024-03-31T17:00:00Z</dcterms:created>
  <dcterms:modified xsi:type="dcterms:W3CDTF">2024-03-31T17:00:00Z</dcterms:modified>
</cp:coreProperties>
</file>