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6E1B" w14:textId="77777777" w:rsidR="00950762" w:rsidRPr="00411568" w:rsidRDefault="00950762" w:rsidP="00950762">
      <w:pPr>
        <w:tabs>
          <w:tab w:val="left" w:pos="709"/>
        </w:tabs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568">
        <w:rPr>
          <w:rFonts w:ascii="Times New Roman" w:hAnsi="Times New Roman"/>
          <w:b/>
          <w:bCs/>
          <w:sz w:val="28"/>
          <w:szCs w:val="28"/>
        </w:rPr>
        <w:t>Статья на тему</w:t>
      </w:r>
    </w:p>
    <w:p w14:paraId="5256ACF7" w14:textId="77777777" w:rsidR="00950762" w:rsidRPr="00411568" w:rsidRDefault="00950762" w:rsidP="00950762">
      <w:pPr>
        <w:tabs>
          <w:tab w:val="left" w:pos="709"/>
        </w:tabs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56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Классификация соединительных контактных элементов в соответствии с ТН ВЭД ЕАЭС. Анализ сложившейся судебной практики</w:t>
      </w:r>
      <w:r w:rsidRPr="00411568">
        <w:rPr>
          <w:rFonts w:ascii="Times New Roman" w:hAnsi="Times New Roman"/>
          <w:b/>
          <w:bCs/>
          <w:sz w:val="28"/>
          <w:szCs w:val="28"/>
        </w:rPr>
        <w:t>»</w:t>
      </w:r>
    </w:p>
    <w:p w14:paraId="6236718C" w14:textId="77777777" w:rsidR="00950762" w:rsidRPr="00D5601A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14:paraId="5DAEE9CA" w14:textId="77777777" w:rsidR="00950762" w:rsidRPr="00D5601A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5601A">
        <w:rPr>
          <w:rFonts w:ascii="Times New Roman" w:hAnsi="Times New Roman"/>
          <w:sz w:val="28"/>
          <w:szCs w:val="28"/>
        </w:rPr>
        <w:t>Классификация товаров в таможенной практике является одним из ключевых и ответственных направлений деятельности таможенных органов. Достоверная классификация товаров по Товарной номенклатуре внешнеэкономической деятельности Евразийского экономического союза (далее – ТН ВЭД ЕАЭС) необходима для осуществления мер таможенно-тарифного регулирования, вывозных таможенных пошлин, запретов и ограничений, мер защиты внутреннего рынка, ведения таможенной статистики.</w:t>
      </w:r>
    </w:p>
    <w:p w14:paraId="1A4BD3BC" w14:textId="77777777" w:rsidR="00950762" w:rsidRPr="00D5601A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5601A">
        <w:rPr>
          <w:rFonts w:ascii="Times New Roman" w:hAnsi="Times New Roman"/>
          <w:sz w:val="28"/>
          <w:szCs w:val="28"/>
        </w:rPr>
        <w:t xml:space="preserve">Классификация товаров в соответствии с ТН ВЭД ЕАЭС означает определение их цифровых классификационных кодов, то есть отнесение к конкретным группировкам – товарным позициям, субпозициям, </w:t>
      </w:r>
      <w:proofErr w:type="spellStart"/>
      <w:r w:rsidRPr="00D5601A">
        <w:rPr>
          <w:rFonts w:ascii="Times New Roman" w:hAnsi="Times New Roman"/>
          <w:sz w:val="28"/>
          <w:szCs w:val="28"/>
        </w:rPr>
        <w:t>подсубпозициям</w:t>
      </w:r>
      <w:proofErr w:type="spellEnd"/>
      <w:r w:rsidRPr="00D5601A">
        <w:rPr>
          <w:rFonts w:ascii="Times New Roman" w:hAnsi="Times New Roman"/>
          <w:sz w:val="28"/>
          <w:szCs w:val="28"/>
        </w:rPr>
        <w:t xml:space="preserve"> ТН ВЭД с соответствующими им числовыми кодами.</w:t>
      </w:r>
    </w:p>
    <w:p w14:paraId="6A06959B" w14:textId="77777777" w:rsidR="00950762" w:rsidRPr="00D5601A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5601A">
        <w:rPr>
          <w:rFonts w:ascii="Times New Roman" w:hAnsi="Times New Roman"/>
          <w:sz w:val="28"/>
          <w:szCs w:val="28"/>
        </w:rPr>
        <w:t>Отнесение перемещаемых через таможенную границу товаров к тому или иному коду ТН ВЭД ЕАЭС осуществляется в соответствии с их характеристиками – классификационными признаками:</w:t>
      </w:r>
    </w:p>
    <w:p w14:paraId="19A651FF" w14:textId="77777777" w:rsidR="00950762" w:rsidRPr="00D5601A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5601A">
        <w:rPr>
          <w:rFonts w:ascii="Times New Roman" w:hAnsi="Times New Roman"/>
          <w:sz w:val="28"/>
          <w:szCs w:val="28"/>
        </w:rPr>
        <w:t></w:t>
      </w:r>
      <w:r w:rsidRPr="00D5601A">
        <w:rPr>
          <w:rFonts w:ascii="Times New Roman" w:hAnsi="Times New Roman"/>
          <w:sz w:val="28"/>
          <w:szCs w:val="28"/>
        </w:rPr>
        <w:tab/>
        <w:t>единство технологических процессов при производстве товара;</w:t>
      </w:r>
    </w:p>
    <w:p w14:paraId="1CA472B0" w14:textId="77777777" w:rsidR="00950762" w:rsidRPr="00D5601A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5601A">
        <w:rPr>
          <w:rFonts w:ascii="Times New Roman" w:hAnsi="Times New Roman"/>
          <w:sz w:val="28"/>
          <w:szCs w:val="28"/>
        </w:rPr>
        <w:t></w:t>
      </w:r>
      <w:r w:rsidRPr="00D5601A">
        <w:rPr>
          <w:rFonts w:ascii="Times New Roman" w:hAnsi="Times New Roman"/>
          <w:sz w:val="28"/>
          <w:szCs w:val="28"/>
        </w:rPr>
        <w:tab/>
        <w:t>назначение при использовании товаров;</w:t>
      </w:r>
    </w:p>
    <w:p w14:paraId="6BD0959D" w14:textId="77777777" w:rsidR="00950762" w:rsidRPr="00D5601A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5601A">
        <w:rPr>
          <w:rFonts w:ascii="Times New Roman" w:hAnsi="Times New Roman"/>
          <w:sz w:val="28"/>
          <w:szCs w:val="28"/>
        </w:rPr>
        <w:t></w:t>
      </w:r>
      <w:r w:rsidRPr="00D5601A">
        <w:rPr>
          <w:rFonts w:ascii="Times New Roman" w:hAnsi="Times New Roman"/>
          <w:sz w:val="28"/>
          <w:szCs w:val="28"/>
        </w:rPr>
        <w:tab/>
        <w:t>физико-химические свойства товара.</w:t>
      </w:r>
    </w:p>
    <w:p w14:paraId="3C089368" w14:textId="77777777" w:rsidR="00950762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5601A">
        <w:rPr>
          <w:rFonts w:ascii="Times New Roman" w:hAnsi="Times New Roman"/>
          <w:sz w:val="28"/>
          <w:szCs w:val="28"/>
        </w:rPr>
        <w:t>Рассмотрим классификацию</w:t>
      </w:r>
      <w:r>
        <w:rPr>
          <w:rFonts w:ascii="Times New Roman" w:hAnsi="Times New Roman"/>
          <w:sz w:val="28"/>
          <w:szCs w:val="28"/>
        </w:rPr>
        <w:t xml:space="preserve"> соединительных контактных элементов.</w:t>
      </w:r>
    </w:p>
    <w:p w14:paraId="300BE1DC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 xml:space="preserve">При классификации соединительных контактных элементов рассматриваются две конкурирующие </w:t>
      </w:r>
      <w:proofErr w:type="spellStart"/>
      <w:r w:rsidRPr="00006683">
        <w:rPr>
          <w:rFonts w:ascii="Times New Roman" w:hAnsi="Times New Roman"/>
          <w:sz w:val="28"/>
          <w:szCs w:val="28"/>
        </w:rPr>
        <w:t>подсубпозиции</w:t>
      </w:r>
      <w:proofErr w:type="spellEnd"/>
      <w:r w:rsidRPr="00006683">
        <w:rPr>
          <w:rFonts w:ascii="Times New Roman" w:hAnsi="Times New Roman"/>
          <w:sz w:val="28"/>
          <w:szCs w:val="28"/>
        </w:rPr>
        <w:t xml:space="preserve"> 8536 90 100 0</w:t>
      </w:r>
      <w:r>
        <w:rPr>
          <w:rFonts w:ascii="Times New Roman" w:hAnsi="Times New Roman"/>
          <w:sz w:val="28"/>
          <w:szCs w:val="28"/>
        </w:rPr>
        <w:t xml:space="preserve"> ТН ВЭД ЕАЭС</w:t>
      </w:r>
      <w:r w:rsidRPr="00006683">
        <w:rPr>
          <w:rFonts w:ascii="Times New Roman" w:hAnsi="Times New Roman"/>
          <w:sz w:val="28"/>
          <w:szCs w:val="28"/>
        </w:rPr>
        <w:t>, куда включаются соединители и контактные элементы для проводов и кабелей, и 8536 69 900 8</w:t>
      </w:r>
      <w:r>
        <w:rPr>
          <w:rFonts w:ascii="Times New Roman" w:hAnsi="Times New Roman"/>
          <w:sz w:val="28"/>
          <w:szCs w:val="28"/>
        </w:rPr>
        <w:t xml:space="preserve"> ТН ВЭД ЕАЭС</w:t>
      </w:r>
      <w:r w:rsidRPr="00006683">
        <w:rPr>
          <w:rFonts w:ascii="Times New Roman" w:hAnsi="Times New Roman"/>
          <w:sz w:val="28"/>
          <w:szCs w:val="28"/>
        </w:rPr>
        <w:t xml:space="preserve">, куда включаются патроны для ламп, </w:t>
      </w:r>
      <w:proofErr w:type="spellStart"/>
      <w:r w:rsidRPr="00006683">
        <w:rPr>
          <w:rFonts w:ascii="Times New Roman" w:hAnsi="Times New Roman"/>
          <w:sz w:val="28"/>
          <w:szCs w:val="28"/>
        </w:rPr>
        <w:t>штепсели</w:t>
      </w:r>
      <w:proofErr w:type="spellEnd"/>
      <w:r w:rsidRPr="00006683">
        <w:rPr>
          <w:rFonts w:ascii="Times New Roman" w:hAnsi="Times New Roman"/>
          <w:sz w:val="28"/>
          <w:szCs w:val="28"/>
        </w:rPr>
        <w:t xml:space="preserve"> и розетки.</w:t>
      </w:r>
    </w:p>
    <w:p w14:paraId="52E49009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 xml:space="preserve">Согласно тексту пояснений к </w:t>
      </w:r>
      <w:proofErr w:type="spellStart"/>
      <w:r w:rsidRPr="00006683">
        <w:rPr>
          <w:rFonts w:ascii="Times New Roman" w:hAnsi="Times New Roman"/>
          <w:sz w:val="28"/>
          <w:szCs w:val="28"/>
        </w:rPr>
        <w:t>подсубпозиции</w:t>
      </w:r>
      <w:proofErr w:type="spellEnd"/>
      <w:r w:rsidRPr="00006683">
        <w:rPr>
          <w:rFonts w:ascii="Times New Roman" w:hAnsi="Times New Roman"/>
          <w:sz w:val="28"/>
          <w:szCs w:val="28"/>
        </w:rPr>
        <w:t xml:space="preserve"> 8536 69 900 8 ТН ВЭД ЕАЭС в ней классифицируются электромеханические штепсельные вилки (так называемый штыревой разъем) и розетки (так называемый гнездовой разъем), которые позволяют осуществлять подсоединения, например, между устройствами, кабелями и соединительными платами. Соединители могут иметь вилку или розетку на обеих сторонах, или вилку или розетку на одной стороне и другое контактное устройство на другой стороне (например, обжимное, клеммное, паяное или винтовое).</w:t>
      </w:r>
    </w:p>
    <w:p w14:paraId="25767E51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 xml:space="preserve">В данную </w:t>
      </w:r>
      <w:proofErr w:type="spellStart"/>
      <w:r w:rsidRPr="00006683">
        <w:rPr>
          <w:rFonts w:ascii="Times New Roman" w:hAnsi="Times New Roman"/>
          <w:sz w:val="28"/>
          <w:szCs w:val="28"/>
        </w:rPr>
        <w:t>подсубпозицию</w:t>
      </w:r>
      <w:proofErr w:type="spellEnd"/>
      <w:r w:rsidRPr="00006683">
        <w:rPr>
          <w:rFonts w:ascii="Times New Roman" w:hAnsi="Times New Roman"/>
          <w:sz w:val="28"/>
          <w:szCs w:val="28"/>
        </w:rPr>
        <w:t xml:space="preserve"> также включаются комплекты, состоящие из двух соединителей: один штыревой разъем и один гнездовой разъем. Каждый из этих соединителей имеет соответствующий разъем с одной стороны и иное соединительное устройство с другой.</w:t>
      </w:r>
    </w:p>
    <w:p w14:paraId="4DD8A31F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 xml:space="preserve">Однако, в </w:t>
      </w:r>
      <w:proofErr w:type="spellStart"/>
      <w:r w:rsidRPr="00006683">
        <w:rPr>
          <w:rFonts w:ascii="Times New Roman" w:hAnsi="Times New Roman"/>
          <w:sz w:val="28"/>
          <w:szCs w:val="28"/>
        </w:rPr>
        <w:t>подсубпозицию</w:t>
      </w:r>
      <w:proofErr w:type="spellEnd"/>
      <w:r w:rsidRPr="00006683">
        <w:rPr>
          <w:rFonts w:ascii="Times New Roman" w:hAnsi="Times New Roman"/>
          <w:sz w:val="28"/>
          <w:szCs w:val="28"/>
        </w:rPr>
        <w:t xml:space="preserve"> 8536 69 900 8 ТН ВЭД ЕАЭС не включаются соединительные или контактные элементы, в которых электрическое соединение устанавливается исключительно другими способами (например, обжим, завинчивание, пайка или клеммы). Они включаются в субпозицию 8536 90 ТН ВЭД ЕАЭС.</w:t>
      </w:r>
    </w:p>
    <w:p w14:paraId="0AF6B0DC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lastRenderedPageBreak/>
        <w:t xml:space="preserve">Учитывая вышеизложенное, принципиальное отличие двух </w:t>
      </w:r>
      <w:proofErr w:type="spellStart"/>
      <w:r w:rsidRPr="00006683">
        <w:rPr>
          <w:rFonts w:ascii="Times New Roman" w:hAnsi="Times New Roman"/>
          <w:sz w:val="28"/>
          <w:szCs w:val="28"/>
        </w:rPr>
        <w:t>подсубпозиций</w:t>
      </w:r>
      <w:proofErr w:type="spellEnd"/>
      <w:r w:rsidRPr="00006683">
        <w:rPr>
          <w:rFonts w:ascii="Times New Roman" w:hAnsi="Times New Roman"/>
          <w:sz w:val="28"/>
          <w:szCs w:val="28"/>
        </w:rPr>
        <w:t xml:space="preserve"> 8536 90 100 0 и 8536 69 900 8 – тип соединения, а, следовательно, ставка ввозной таможенной пошлины – 0 и 8% соответственно.</w:t>
      </w:r>
    </w:p>
    <w:p w14:paraId="34EB9E2C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При таможенном декларировании соединительных контактных элементов участниками ВЭД зачастую товары, которые имеют, например штыревой и/или гнездовой тип соединения, классифицируются в субпозиции 8536 90 ТН ВЭД ЕАЭС. При этом, в графе 31 сведения о типе соединения либо не указываются, либо указываются, но участник ВЭД не видит оснований для заявления в графе 33 ДТ кода товара с более высокой ставкой пошлины, так как не видит различий между двумя конкурирующими кодами.</w:t>
      </w:r>
    </w:p>
    <w:p w14:paraId="4E1FC4F1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Учитывая, что партии рассматриваемой категории товаров, ввозимые на территорию ЕАЭС, велики, смена таможенным органом классификационного кода с 8536 90 на 8536 69 ТН ВЭД ЕАЭС явилось предметом судебного разбирательства.</w:t>
      </w:r>
    </w:p>
    <w:p w14:paraId="33D32BEA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Необходимо отметить, что до вынесения Верховным судом постановления судебная практика классификации соединительных контактных элементов складывалась неоднозначн</w:t>
      </w:r>
      <w:r>
        <w:rPr>
          <w:rFonts w:ascii="Times New Roman" w:hAnsi="Times New Roman"/>
          <w:sz w:val="28"/>
          <w:szCs w:val="28"/>
        </w:rPr>
        <w:t>о</w:t>
      </w:r>
      <w:r w:rsidRPr="00006683">
        <w:rPr>
          <w:rFonts w:ascii="Times New Roman" w:hAnsi="Times New Roman"/>
          <w:sz w:val="28"/>
          <w:szCs w:val="28"/>
        </w:rPr>
        <w:t>.</w:t>
      </w:r>
    </w:p>
    <w:p w14:paraId="47488C18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 xml:space="preserve">Так, решением Арбитражного суда г. Москвы по делу № А40-140215/2020 принятое Московской таможней решение о классификации товара «соединительные контактные элементы…» в </w:t>
      </w:r>
      <w:proofErr w:type="spellStart"/>
      <w:r w:rsidRPr="00006683">
        <w:rPr>
          <w:rFonts w:ascii="Times New Roman" w:hAnsi="Times New Roman"/>
          <w:sz w:val="28"/>
          <w:szCs w:val="28"/>
        </w:rPr>
        <w:t>подсубпозиции</w:t>
      </w:r>
      <w:proofErr w:type="spellEnd"/>
      <w:r w:rsidRPr="00006683">
        <w:rPr>
          <w:rFonts w:ascii="Times New Roman" w:hAnsi="Times New Roman"/>
          <w:sz w:val="28"/>
          <w:szCs w:val="28"/>
        </w:rPr>
        <w:t xml:space="preserve"> 8536 69 900 8 ТН ВЭД ЕАЭС признано незаконным.</w:t>
      </w:r>
    </w:p>
    <w:p w14:paraId="453357A0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Согласно материалам дела декларант на основании договора на продажу электрических соединителей промышленного назначения ввезло на территорию Российской Федерации товар в виде электрических соединителей. В отношении товара был заявлен классификационный код ТН ВЭД ЕАЭС 8536 90 100 0, которому соответствует ставка ввозной таможенной пошлины 0%. Однако, по результатам таможенного контроля на основании представленных технических документов таможенным органом код товара был изменен на 8536 69 900 8 ТН ВЭД ЕАЭС, ставка ввозной таможенной пошлины 8%.</w:t>
      </w:r>
    </w:p>
    <w:p w14:paraId="5DB565F9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Суд, удовлетворяя требования заявителя, исходил из следующего.</w:t>
      </w:r>
    </w:p>
    <w:p w14:paraId="1315DAED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Таможенный орган в своем решении отменяет классификацию товара в субпозиции 8536 90 100 0 -«Соединители и контактные элементы для проводов и кабелей», что противоречит нормативным требованиям Правила 6, регламентированного в «Основных правилах интерпретации ТН ВЭД».</w:t>
      </w:r>
    </w:p>
    <w:p w14:paraId="487C64ED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Согласно указанному правилу «Для юридических целей классификация товаров в субпозициях товарной позиции должна осуществляться в соответствии с наименованиями субпозиций...». В данном же случае наименование товара полностью совпадает с наименованием субпозиции 8536 90 100 0, в связи с чем и должен классифицироваться именно в субпозиции 8536 90 100 0.</w:t>
      </w:r>
    </w:p>
    <w:p w14:paraId="6738C617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 xml:space="preserve">Необоснованность изменения таможенным органом кода классификации товара заключается в том, что ввезенный товар не может быть квалифицирован в категории </w:t>
      </w:r>
      <w:proofErr w:type="spellStart"/>
      <w:r w:rsidRPr="00006683">
        <w:rPr>
          <w:rFonts w:ascii="Times New Roman" w:hAnsi="Times New Roman"/>
          <w:sz w:val="28"/>
          <w:szCs w:val="28"/>
        </w:rPr>
        <w:t>штепсельсных</w:t>
      </w:r>
      <w:proofErr w:type="spellEnd"/>
      <w:r w:rsidRPr="00006683">
        <w:rPr>
          <w:rFonts w:ascii="Times New Roman" w:hAnsi="Times New Roman"/>
          <w:sz w:val="28"/>
          <w:szCs w:val="28"/>
        </w:rPr>
        <w:t xml:space="preserve"> разъемов по следующим причинам.</w:t>
      </w:r>
    </w:p>
    <w:p w14:paraId="08145313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 xml:space="preserve">Заводские описания номенклатуры ввозимого товара, которые были представлены таможенному органу, вообще не содержат таких терминов, как гнездовые розетки, штепсельные вилки или штепсельные разъемы, в связи с чем </w:t>
      </w:r>
      <w:r w:rsidRPr="00006683">
        <w:rPr>
          <w:rFonts w:ascii="Times New Roman" w:hAnsi="Times New Roman"/>
          <w:sz w:val="28"/>
          <w:szCs w:val="28"/>
        </w:rPr>
        <w:lastRenderedPageBreak/>
        <w:t>у таможенного органа отсутствовали какие-либо основания в инициативном порядке переименовывать товар, производимый заводом-изготовителем. Данный товар производится по разработанной и согласованной технической документации с использованием общепринятых разработчиками, изготовителями и потребителями терминологии.</w:t>
      </w:r>
    </w:p>
    <w:p w14:paraId="0EC3B6E7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Согласно материалам второго дела № А43-20979/2020, которое рассматривалось в Арбитражном суде Нижегородской области, решение таможенного органа о присвоении товару «соединительные контактные элементы» классификационного кода 8536 69 900 8 ТН ВЭД ЕАЭС признано законным.</w:t>
      </w:r>
    </w:p>
    <w:p w14:paraId="054C7BD6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 xml:space="preserve">Как и в предыдущем деле, таможенным органом в отношении соединительных контактных элементов принято решение о классификации в </w:t>
      </w:r>
      <w:proofErr w:type="spellStart"/>
      <w:r w:rsidRPr="00006683">
        <w:rPr>
          <w:rFonts w:ascii="Times New Roman" w:hAnsi="Times New Roman"/>
          <w:sz w:val="28"/>
          <w:szCs w:val="28"/>
        </w:rPr>
        <w:t>подсубпозиции</w:t>
      </w:r>
      <w:proofErr w:type="spellEnd"/>
      <w:r w:rsidRPr="00006683">
        <w:rPr>
          <w:rFonts w:ascii="Times New Roman" w:hAnsi="Times New Roman"/>
          <w:sz w:val="28"/>
          <w:szCs w:val="28"/>
        </w:rPr>
        <w:t xml:space="preserve"> 8536 69 900 8 ТН ВЭД ЕАЭС, доначислены таможенных платежи.</w:t>
      </w:r>
    </w:p>
    <w:p w14:paraId="623771E5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Таможенным органом принятое решение о классификации обосновано проведенной в отношении товара таможенной экспертизой, по результатам которой было установлено, что товар представляет собой контакт гнездовой. В материалы дела таможенным органом представлены также классификационные решения Европейского Союза, использующего Гармонизированную систему, классификационный код товара которого на уровне восьми знаков совпадает с TH ВЭД ЕАЭС. Исходя из описания товара и его иллюстрации в класс. решениях ЕС был сделан вывод об их идентичности со спорным товаром.</w:t>
      </w:r>
    </w:p>
    <w:p w14:paraId="04193E07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Учитывая вышеизложенное, судом решение было вынесено в пользу таможенного органа.</w:t>
      </w:r>
    </w:p>
    <w:p w14:paraId="576D523B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Необходимо отметить, что обжалование данного решения было до инстанции Верховного суда, которым принятое решения признано законным.</w:t>
      </w:r>
    </w:p>
    <w:p w14:paraId="17F88A69" w14:textId="77777777" w:rsidR="00950762" w:rsidRPr="00006683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Важно отметить, что при анализе указанные судебных решений было выявлено, что в своих доводы декларанты ссылаются на положения ГОСТ и на термины, которые они определяют. Однако, зачастую встречаются противоречия терминологии, заложенной в TH ВЭД ЕАЭС и содержащейся в различных Государственных стандартах. В таких случаях необходимо руководствоваться положениям ТН ВЭД ЕАЭС. Ситуации, при которых положения ГОСТ вступают в противоречие с положениями текста пояснений к TH ВЭД ЕАЭС встречались в практике Арбитражных судов.</w:t>
      </w:r>
    </w:p>
    <w:p w14:paraId="34E2A3FB" w14:textId="77777777" w:rsidR="00950762" w:rsidRDefault="00950762" w:rsidP="0095076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 xml:space="preserve">Таким образом, при декларировании товара «соединительные контактные элементы» </w:t>
      </w:r>
      <w:r>
        <w:rPr>
          <w:rFonts w:ascii="Times New Roman" w:hAnsi="Times New Roman"/>
          <w:sz w:val="28"/>
          <w:szCs w:val="28"/>
        </w:rPr>
        <w:t xml:space="preserve">важное значение имеет правильность определения классификационного кода этого товара. Однако, учитывая, что </w:t>
      </w:r>
      <w:r w:rsidRPr="00006683">
        <w:rPr>
          <w:rFonts w:ascii="Times New Roman" w:hAnsi="Times New Roman"/>
          <w:sz w:val="28"/>
          <w:szCs w:val="28"/>
        </w:rPr>
        <w:t>участниками ВЭД зачастую неверно трактуются положения ТН ВЭД ЕАЭС, ОПИ ТН ВЭД, существует проблема классификации данного товара, что создает риск нарушения таможенного законодательства.</w:t>
      </w:r>
    </w:p>
    <w:p w14:paraId="7CE53ED2" w14:textId="77777777" w:rsidR="007F714A" w:rsidRDefault="007F714A">
      <w:bookmarkStart w:id="0" w:name="_GoBack"/>
      <w:bookmarkEnd w:id="0"/>
    </w:p>
    <w:sectPr w:rsidR="007F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96"/>
    <w:rsid w:val="007F714A"/>
    <w:rsid w:val="00950762"/>
    <w:rsid w:val="00A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362A-2C14-442A-A349-0CC04A12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7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логинов</dc:creator>
  <cp:keywords/>
  <dc:description/>
  <cp:lastModifiedBy>илья логинов</cp:lastModifiedBy>
  <cp:revision>2</cp:revision>
  <dcterms:created xsi:type="dcterms:W3CDTF">2024-03-05T12:47:00Z</dcterms:created>
  <dcterms:modified xsi:type="dcterms:W3CDTF">2024-03-05T12:48:00Z</dcterms:modified>
</cp:coreProperties>
</file>