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Геворкян А.А.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righ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</w:t>
      </w:r>
      <w:r>
        <w:rPr>
          <w:rFonts w:ascii="Times New Roman" w:hAnsi="Times New Roman" w:cs="Times New Roman"/>
          <w:b/>
          <w:sz w:val="28"/>
          <w:szCs w:val="28"/>
        </w:rPr>
        <w:t xml:space="preserve">. Челябинск, Россия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ВОЛЕВОГО ДЕЙСТВИЯ У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Аннотация</w:t>
      </w:r>
      <w:r>
        <w:rPr>
          <w:rFonts w:ascii="Times New Roman" w:hAnsi="Times New Roman" w:cs="Times New Roman"/>
          <w:sz w:val="28"/>
          <w:szCs w:val="28"/>
        </w:rPr>
        <w:t xml:space="preserve">. В статье отражены особенности формирования волевого действия у дете</w:t>
      </w:r>
      <w:r>
        <w:rPr>
          <w:rFonts w:ascii="Times New Roman" w:hAnsi="Times New Roman" w:cs="Times New Roman"/>
          <w:sz w:val="28"/>
          <w:szCs w:val="28"/>
        </w:rPr>
        <w:t xml:space="preserve">й старшего дошкольного возраста, отмечается актуальность и необходимость поиска новых решений в вопросе эффективного воздействия на волевую сферу ребенка.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волевое действие,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волевое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волевое усилие</w:t>
      </w:r>
      <w:r>
        <w:rPr>
          <w:rFonts w:ascii="Times New Roman" w:hAnsi="Times New Roman" w:cs="Times New Roman"/>
          <w:sz w:val="28"/>
          <w:szCs w:val="28"/>
        </w:rPr>
        <w:t xml:space="preserve">, дошкольник.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contextualSpacing/>
        <w:ind w:firstLine="709"/>
        <w:jc w:val="right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Gevorkyan A.A.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</w:r>
    </w:p>
    <w:p>
      <w:pPr>
        <w:contextualSpacing/>
        <w:ind w:firstLine="709"/>
        <w:jc w:val="right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Chelyabinsk, Russia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i/>
          <w:sz w:val="28"/>
          <w:szCs w:val="28"/>
          <w:lang w:val="en-US"/>
        </w:rPr>
      </w:r>
      <w:r>
        <w:rPr>
          <w:rFonts w:ascii="Times New Roman" w:hAnsi="Times New Roman" w:eastAsia="Calibri" w:cs="Times New Roman"/>
          <w:bCs/>
          <w:sz w:val="28"/>
          <w:szCs w:val="28"/>
          <w:lang w:val="en-US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contextualSpacing/>
        <w:ind w:firstLine="709"/>
        <w:jc w:val="right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</w:r>
      <w:r>
        <w:rPr>
          <w:rFonts w:ascii="Times New Roman" w:hAnsi="Times New Roman" w:cs="Times New Roman"/>
          <w:b/>
          <w:sz w:val="28"/>
          <w:szCs w:val="28"/>
          <w:lang w:val="en-US"/>
        </w:rPr>
      </w:r>
    </w:p>
    <w:p>
      <w:pPr>
        <w:contextualSpacing/>
        <w:ind w:firstLine="709"/>
        <w:jc w:val="center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FORMATION OF VOLITIONAL ACTION IN CHILDREN OF OLDER PRESCHOOL AGE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bstract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article reflects the features of the formation of volitional action in children of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lder preschool 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relevance and necessity of finding new solutions in the issue of effective influence on the volitional sphere of the child is noted.</w:t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volitional action, purposefulness, volitio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nal behavior, volitional effort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preschool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child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известно,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достижения поставленных целей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проявляет инициативу, прикладывает силы, преодолевает трудности, сдерживает порывы и желания.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обнаруживается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психический аспект,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проявление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волевое действие.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волевого действия нашли отражение в работах </w:t>
      </w:r>
      <w:r>
        <w:rPr>
          <w:rFonts w:ascii="Times New Roman" w:hAnsi="Times New Roman" w:cs="Times New Roman"/>
          <w:sz w:val="28"/>
          <w:szCs w:val="28"/>
        </w:rPr>
        <w:br/>
        <w:t xml:space="preserve">Ильина Е.П., С.Л. Рубинштейна, В.А. Иванникова, А.Н. Леонтьева, М.М. Безруких</w:t>
      </w:r>
      <w:r>
        <w:rPr>
          <w:rFonts w:ascii="Times New Roman" w:hAnsi="Times New Roman" w:cs="Times New Roman"/>
          <w:sz w:val="28"/>
          <w:szCs w:val="28"/>
        </w:rPr>
        <w:t xml:space="preserve">, В.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Котырло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851"/>
        <w:jc w:val="bot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a2723"/>
          <w:sz w:val="28"/>
          <w:szCs w:val="28"/>
        </w:rPr>
        <w:t xml:space="preserve">Уже в дошкольном возрасте происходит становление волевого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действия, ребенок овладевает 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целеполаганием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, планированием,</w:t>
      </w:r>
      <w:r>
        <w:rPr>
          <w:rFonts w:ascii="Times New Roman" w:hAnsi="Times New Roman" w:cs="Times New Roman"/>
          <w:color w:val="2a2723"/>
          <w:sz w:val="28"/>
          <w:szCs w:val="28"/>
          <w:shd w:val="clear" w:color="auto" w:fill="f7f7f2"/>
        </w:rPr>
        <w:t xml:space="preserve"> 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контролем.</w:t>
      </w:r>
      <w:r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r>
        <w:rPr>
          <w:rFonts w:ascii="Times New Roman" w:hAnsi="Times New Roman" w:cs="Times New Roman"/>
          <w:sz w:val="28"/>
          <w:szCs w:val="28"/>
        </w:rPr>
        <w:t xml:space="preserve">Урунтаевой</w:t>
      </w:r>
      <w:r>
        <w:rPr>
          <w:rFonts w:ascii="Times New Roman" w:hAnsi="Times New Roman" w:cs="Times New Roman"/>
          <w:sz w:val="28"/>
          <w:szCs w:val="28"/>
        </w:rPr>
        <w:t xml:space="preserve"> было сформулировано следующе</w:t>
      </w:r>
      <w:r>
        <w:rPr>
          <w:rFonts w:ascii="Times New Roman" w:hAnsi="Times New Roman" w:cs="Times New Roman"/>
          <w:sz w:val="28"/>
          <w:szCs w:val="28"/>
        </w:rPr>
        <w:t xml:space="preserve">е определение волевого действия – </w:t>
      </w:r>
      <w:r>
        <w:rPr>
          <w:rFonts w:ascii="Times New Roman" w:hAnsi="Times New Roman" w:cs="Times New Roman"/>
          <w:sz w:val="28"/>
          <w:szCs w:val="28"/>
        </w:rPr>
        <w:t xml:space="preserve">преднамеренное, осознанное, связанное с преодолением трудностей действие. Его структуру составляют постановка цели, принятие решения, планирование исполнения, преодоление препятствий, сличение достигнутого результата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предполагаемым и его оценка [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].</w:t>
      </w:r>
      <w:r>
        <w:rPr>
          <w:rFonts w:ascii="Times New Roman" w:hAnsi="Times New Roman" w:cs="Times New Roman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свободы воли, выражающееся в активном выборе целей и способов </w:t>
      </w:r>
      <w:r>
        <w:rPr>
          <w:rFonts w:ascii="Times New Roman" w:hAnsi="Times New Roman" w:cs="Times New Roman"/>
          <w:sz w:val="28"/>
          <w:szCs w:val="28"/>
        </w:rPr>
        <w:t xml:space="preserve">их достижения, есть главная особенность сознания детей старшего дошкольного возраста. Дети данного возраста самостоятельно выбирают модель поведения и решение, которое он может принять в той или иной ситуации, которые обуславливаются объективными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]</w:t>
      </w:r>
      <w:r>
        <w:rPr>
          <w:rFonts w:ascii="Times New Roman" w:hAnsi="Times New Roman" w:cs="Times New Roman"/>
          <w:sz w:val="28"/>
          <w:szCs w:val="28"/>
        </w:rPr>
        <w:t xml:space="preserve">. Выбор и последующие за ним действия детей старшего дошкольного возраста в различных ситуациях зависят от его целей, мировоззрения, желаний и последствий, ответственность за которые он несет.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Взгляды </w:t>
      </w:r>
      <w:r>
        <w:rPr>
          <w:rFonts w:ascii="Times New Roman" w:hAnsi="Times New Roman" w:cs="Times New Roman"/>
          <w:sz w:val="28"/>
          <w:szCs w:val="28"/>
        </w:rPr>
        <w:t xml:space="preserve">А.Н. Леонтьев</w:t>
      </w:r>
      <w:r>
        <w:rPr>
          <w:rFonts w:ascii="Times New Roman" w:hAnsi="Times New Roman" w:cs="Times New Roman"/>
          <w:sz w:val="28"/>
          <w:szCs w:val="28"/>
        </w:rPr>
        <w:t xml:space="preserve">а схожи с вышеизложенным положением, он</w:t>
      </w:r>
      <w:r>
        <w:rPr>
          <w:rFonts w:ascii="Times New Roman" w:hAnsi="Times New Roman" w:cs="Times New Roman"/>
          <w:sz w:val="28"/>
          <w:szCs w:val="28"/>
        </w:rPr>
        <w:t xml:space="preserve"> считает, что воспитание является процессом, в ходе которого  у детей формируется способность для целенаправленного принятия решений и развития выбора наиболее эффективных средств [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]. У ребенка старшего дошкольного возраста развивается индивидуальный стиль волевого поведения. Одни – придерживаются рационального способа решения проблем, другие подходят к решению вопросов более подробно, следуя своему чувству долга.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это, многим сложно сде</w:t>
      </w:r>
      <w:r>
        <w:rPr>
          <w:rFonts w:ascii="Times New Roman" w:hAnsi="Times New Roman" w:cs="Times New Roman"/>
          <w:sz w:val="28"/>
          <w:szCs w:val="28"/>
        </w:rPr>
        <w:t xml:space="preserve">лать выбор и принять решение в своем предпочтении мотивов. Большую роль в этом вопросе играет интеллектуальная сфера ребенка, его стремление к осознанному, правильному выбору, однако этот процесс не всегда является полностью осознанным и аргументированным.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Особенностью детей дошкольного возраста является постепенное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умения удерживать цель в центре внимания. Данную специфику можно проследить на фоне эксперимента, проведенного с детьми от 2 до 7 лет. Детям было предложено прокатить мяч, подталкивая его двумя руками, по узкой площадке до определенной черты.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Дойдя до условной середины площадки, ребенку выпускали интересную игрушечную машину.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Примерно все дети старшего дошкольного возраста доводили мяч до конца площадки, в отличие от детей младшего и среднего дошкольного возраста, которые отвлекались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обстоятельства.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заметить, что возможность удерживать цель у детей дошкольного возраста напрямую зависит от сложности задания и времени, которое будет потрачено на его выполнение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].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результатов исследований Л.Г. </w:t>
      </w:r>
      <w:r>
        <w:rPr>
          <w:rFonts w:ascii="Times New Roman" w:hAnsi="Times New Roman" w:cs="Times New Roman"/>
          <w:sz w:val="28"/>
          <w:szCs w:val="28"/>
        </w:rPr>
        <w:t xml:space="preserve">Лыс</w:t>
      </w:r>
      <w:r>
        <w:rPr>
          <w:rFonts w:ascii="Times New Roman" w:hAnsi="Times New Roman" w:cs="Times New Roman"/>
          <w:sz w:val="28"/>
          <w:szCs w:val="28"/>
        </w:rPr>
        <w:t xml:space="preserve">юк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старшем дошкольном возрасте формируется произвольность психических процессов, что обеспечивает умение определять цели деятельности, находить</w:t>
      </w:r>
      <w:r>
        <w:rPr>
          <w:rFonts w:ascii="Times New Roman" w:hAnsi="Times New Roman" w:cs="Times New Roman"/>
          <w:sz w:val="28"/>
          <w:szCs w:val="28"/>
        </w:rPr>
        <w:t xml:space="preserve"> доступные средства для их реализации и контролировать их достижение, кроме того, к 6–7 годам ребенок способен совершать действия в уме, размышлять по поводу своих мыслей и поступков, что служит основой осознания и оценки своей деятельности, ее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способов их достижения. В данный возрастной период у ребенка формируется умение сознательно подчинять свои действия определенному мотиву [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].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contextualSpacing/>
        <w:ind w:firstLine="709"/>
        <w:jc w:val="both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формировании целенаправленности действий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остижения и неуспехи в выполнении каких-либо заданий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играют важное значение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детей дошкольного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детей младшего дошкольного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неудача и успех не играют важной роли при преодолении трудностей и не влияют на длительность сохранения цели. Неуспех при достижении поставленной цели их не разочаровывает. Детям 4-5 лет неудачи  оказывают подавляющее воздействие при выполнении задания,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выполнение задания приносит успех, то дети стараются выполнить его до конца. Говоря о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 старшего дошкольного возраста, для большинства из них характерно поведение детей 4-5 лет, но для некоторых присуще стремление обязательно преодолеть все трудности. Так они просят еще возможность, чтобы испытать силы и настойчиво отказываются сдаваться.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если деятельность относительно непроста и долговременна, то даже дети старшего дошкольного возраста удерживают в памяти цель и подчиняют ей свои действия только в случае, когда рядом находится взрослый человек, готовый его поддержать  в начинаниях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Литература: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28"/>
        <w:numPr>
          <w:ilvl w:val="0"/>
          <w:numId w:val="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Батенова</w:t>
      </w:r>
      <w:r>
        <w:rPr>
          <w:rFonts w:ascii="Times New Roman" w:hAnsi="Times New Roman" w:cs="Times New Roman"/>
          <w:sz w:val="28"/>
          <w:szCs w:val="28"/>
        </w:rPr>
        <w:t xml:space="preserve">, Ю.В.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педагогов к использованию информационно-коммуникационных технологий для развития дошкольников // Новое в психолого-педагогических исследованиях. – 2017. – № 2. – С. 42-49.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EDN: </w:t>
      </w:r>
      <w:hyperlink r:id="rId9" w:tooltip="https://www.elibrary.ru/zofshp" w:history="1">
        <w:r>
          <w:rPr>
            <w:rStyle w:val="629"/>
            <w:rFonts w:ascii="Times New Roman" w:hAnsi="Times New Roman" w:cs="Times New Roman"/>
            <w:sz w:val="28"/>
            <w:szCs w:val="28"/>
          </w:rPr>
          <w:t xml:space="preserve">ZOFSHP</w:t>
        </w:r>
      </w:hyperlink>
      <w:r/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28"/>
        <w:numPr>
          <w:ilvl w:val="0"/>
          <w:numId w:val="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Батенова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Ю.В. </w:t>
      </w:r>
      <w:r>
        <w:rPr>
          <w:rFonts w:ascii="Times New Roman" w:hAnsi="Times New Roman" w:cs="Times New Roman"/>
          <w:sz w:val="28"/>
          <w:szCs w:val="28"/>
        </w:rPr>
        <w:t xml:space="preserve">Дошкольник: вчера, сегодня, завтра / Ю.В. </w:t>
      </w:r>
      <w:r>
        <w:rPr>
          <w:rFonts w:ascii="Times New Roman" w:hAnsi="Times New Roman" w:cs="Times New Roman"/>
          <w:sz w:val="28"/>
          <w:szCs w:val="28"/>
        </w:rPr>
        <w:t xml:space="preserve">Батенова</w:t>
      </w:r>
      <w:r>
        <w:rPr>
          <w:rFonts w:ascii="Times New Roman" w:hAnsi="Times New Roman" w:cs="Times New Roman"/>
          <w:sz w:val="28"/>
          <w:szCs w:val="28"/>
        </w:rPr>
        <w:t xml:space="preserve"> // Материалы XVI международной научно-практической конференции «Актуальные проблемы дошкольного образования: современные концепции и технологии», </w:t>
      </w:r>
      <w:r>
        <w:rPr>
          <w:rFonts w:ascii="Times New Roman" w:hAnsi="Times New Roman" w:cs="Times New Roman"/>
          <w:sz w:val="28"/>
          <w:szCs w:val="28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. Челябинск, </w:t>
      </w:r>
      <w:r>
        <w:rPr>
          <w:rFonts w:ascii="Times New Roman" w:hAnsi="Times New Roman" w:cs="Times New Roman"/>
          <w:sz w:val="28"/>
          <w:szCs w:val="28"/>
        </w:rPr>
        <w:t xml:space="preserve">ЮУрГППУ</w:t>
      </w:r>
      <w:r>
        <w:rPr>
          <w:rFonts w:ascii="Times New Roman" w:hAnsi="Times New Roman" w:cs="Times New Roman"/>
          <w:sz w:val="28"/>
          <w:szCs w:val="28"/>
        </w:rPr>
        <w:t xml:space="preserve">, 19-20 апреля 2018 г. – Челябинск: </w:t>
      </w:r>
      <w:r>
        <w:rPr>
          <w:rFonts w:ascii="Times New Roman" w:hAnsi="Times New Roman" w:cs="Times New Roman"/>
          <w:sz w:val="28"/>
          <w:szCs w:val="28"/>
        </w:rPr>
        <w:t xml:space="preserve">Изд</w:t>
      </w:r>
      <w:r>
        <w:rPr>
          <w:rFonts w:ascii="Times New Roman" w:hAnsi="Times New Roman" w:cs="Times New Roman"/>
          <w:sz w:val="28"/>
          <w:szCs w:val="28"/>
        </w:rPr>
        <w:t xml:space="preserve">.-</w:t>
      </w:r>
      <w:r>
        <w:rPr>
          <w:rFonts w:ascii="Times New Roman" w:hAnsi="Times New Roman" w:cs="Times New Roman"/>
          <w:sz w:val="28"/>
          <w:szCs w:val="28"/>
        </w:rPr>
        <w:t xml:space="preserve">во</w:t>
      </w:r>
      <w:r>
        <w:rPr>
          <w:rFonts w:ascii="Times New Roman" w:hAnsi="Times New Roman" w:cs="Times New Roman"/>
          <w:sz w:val="28"/>
          <w:szCs w:val="28"/>
        </w:rPr>
        <w:t xml:space="preserve">: ЗАО «Цицеро», 2018. – С.337-42. – EDN: </w:t>
      </w:r>
      <w:hyperlink r:id="rId10" w:tooltip="https://www.elibrary.ru/xwvztv" w:history="1">
        <w:r>
          <w:rPr>
            <w:rStyle w:val="629"/>
            <w:rFonts w:ascii="Times New Roman" w:hAnsi="Times New Roman" w:cs="Times New Roman"/>
            <w:sz w:val="28"/>
            <w:szCs w:val="28"/>
          </w:rPr>
          <w:t xml:space="preserve">XWVZTV</w:t>
        </w:r>
      </w:hyperlink>
      <w:r/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28"/>
        <w:numPr>
          <w:ilvl w:val="0"/>
          <w:numId w:val="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Леонтьев, </w:t>
      </w:r>
      <w:r>
        <w:rPr>
          <w:rFonts w:ascii="Times New Roman" w:hAnsi="Times New Roman" w:cs="Times New Roman"/>
          <w:sz w:val="28"/>
          <w:szCs w:val="28"/>
        </w:rPr>
        <w:t xml:space="preserve">А.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r>
        <w:rPr>
          <w:rFonts w:ascii="Times New Roman" w:hAnsi="Times New Roman" w:cs="Times New Roman"/>
          <w:sz w:val="28"/>
          <w:szCs w:val="28"/>
        </w:rPr>
        <w:t xml:space="preserve">Потребности, мотивы и эмоции / А.Н. Леонтьев.</w:t>
      </w:r>
      <w:r>
        <w:rPr>
          <w:rFonts w:ascii="Times New Roman" w:hAnsi="Times New Roman" w:cs="Times New Roman"/>
          <w:sz w:val="28"/>
          <w:szCs w:val="28"/>
        </w:rPr>
        <w:t xml:space="preserve"> – М.: МГУ, 2016. – 40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28"/>
        <w:numPr>
          <w:ilvl w:val="0"/>
          <w:numId w:val="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Лысюк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Л.Г. Эмпирическая картина становления продуктивного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целеполагания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2-4 лет / </w:t>
      </w:r>
      <w:r>
        <w:rPr>
          <w:rStyle w:val="63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</w:t>
      </w:r>
      <w:r>
        <w:rPr>
          <w:rStyle w:val="63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</w:t>
      </w:r>
      <w:r>
        <w:rPr>
          <w:rStyle w:val="63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Лысюк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// Вопросы психологии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1993. – №2. – С. 26-33.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28"/>
        <w:numPr>
          <w:ilvl w:val="0"/>
          <w:numId w:val="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Мухина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В. С. Возрастная психология: феноменология развития, детство, отрочество: Учебник для студ.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вузов.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М.: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«Академия», 1999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456 с.</w:t>
      </w:r>
      <w:r>
        <w:rPr>
          <w:rFonts w:ascii="Times New Roman" w:hAnsi="Times New Roman" w:cs="Times New Roman"/>
          <w:i/>
          <w:sz w:val="28"/>
          <w:szCs w:val="28"/>
        </w:rPr>
      </w:r>
    </w:p>
    <w:p>
      <w:pPr>
        <w:pStyle w:val="628"/>
        <w:numPr>
          <w:ilvl w:val="0"/>
          <w:numId w:val="2"/>
        </w:numPr>
        <w:ind w:left="0" w:firstLine="709"/>
        <w:jc w:val="both"/>
        <w:spacing w:after="0" w:line="360" w:lineRule="auto"/>
        <w:tabs>
          <w:tab w:val="left" w:pos="993" w:leader="none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Урунтаева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Г.А.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Дошкольная психология: Учеб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особие для студ. сред.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учеб. заведений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М.: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«Академия», 2001.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336 с.</w:t>
      </w:r>
      <w:r>
        <w:rPr>
          <w:rFonts w:ascii="Times New Roman" w:hAnsi="Times New Roman" w:cs="Times New Roman"/>
          <w:i/>
          <w:sz w:val="28"/>
          <w:szCs w:val="28"/>
        </w:rPr>
      </w:r>
    </w:p>
    <w:sectPr>
      <w:footnotePr/>
      <w:endnotePr/>
      <w:type w:val="nextPage"/>
      <w:pgSz w:w="11906" w:h="16838" w:orient="portrait"/>
      <w:pgMar w:top="1701" w:right="1701" w:bottom="1701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1"/>
    <w:next w:val="62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3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23"/>
    <w:link w:val="622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1"/>
    <w:next w:val="62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3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1"/>
    <w:next w:val="62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3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1"/>
    <w:next w:val="62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3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1"/>
    <w:next w:val="62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3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1"/>
    <w:next w:val="62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3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1"/>
    <w:next w:val="62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3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1"/>
    <w:next w:val="62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3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1"/>
    <w:next w:val="62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3"/>
    <w:link w:val="34"/>
    <w:uiPriority w:val="10"/>
    <w:rPr>
      <w:sz w:val="48"/>
      <w:szCs w:val="48"/>
    </w:rPr>
  </w:style>
  <w:style w:type="paragraph" w:styleId="36">
    <w:name w:val="Subtitle"/>
    <w:basedOn w:val="621"/>
    <w:next w:val="62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3"/>
    <w:link w:val="36"/>
    <w:uiPriority w:val="11"/>
    <w:rPr>
      <w:sz w:val="24"/>
      <w:szCs w:val="24"/>
    </w:rPr>
  </w:style>
  <w:style w:type="paragraph" w:styleId="38">
    <w:name w:val="Quote"/>
    <w:basedOn w:val="621"/>
    <w:next w:val="62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1"/>
    <w:next w:val="62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3"/>
    <w:link w:val="42"/>
    <w:uiPriority w:val="99"/>
  </w:style>
  <w:style w:type="paragraph" w:styleId="44">
    <w:name w:val="Footer"/>
    <w:basedOn w:val="62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3"/>
    <w:link w:val="44"/>
    <w:uiPriority w:val="99"/>
  </w:style>
  <w:style w:type="paragraph" w:styleId="46">
    <w:name w:val="Caption"/>
    <w:basedOn w:val="621"/>
    <w:next w:val="6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3"/>
    <w:uiPriority w:val="99"/>
    <w:unhideWhenUsed/>
    <w:rPr>
      <w:vertAlign w:val="superscript"/>
    </w:rPr>
  </w:style>
  <w:style w:type="paragraph" w:styleId="178">
    <w:name w:val="endnote text"/>
    <w:basedOn w:val="62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3"/>
    <w:uiPriority w:val="99"/>
    <w:semiHidden/>
    <w:unhideWhenUsed/>
    <w:rPr>
      <w:vertAlign w:val="superscript"/>
    </w:rPr>
  </w:style>
  <w:style w:type="paragraph" w:styleId="181">
    <w:name w:val="toc 1"/>
    <w:basedOn w:val="621"/>
    <w:next w:val="62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1"/>
    <w:next w:val="62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1"/>
    <w:next w:val="62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1"/>
    <w:next w:val="62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1"/>
    <w:next w:val="62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1"/>
    <w:next w:val="62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1"/>
    <w:next w:val="62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1"/>
    <w:next w:val="62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1"/>
    <w:next w:val="62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1"/>
    <w:next w:val="621"/>
    <w:uiPriority w:val="99"/>
    <w:unhideWhenUsed/>
    <w:pPr>
      <w:spacing w:after="0" w:afterAutospacing="0"/>
    </w:pPr>
  </w:style>
  <w:style w:type="paragraph" w:styleId="621" w:default="1">
    <w:name w:val="Normal"/>
    <w:qFormat/>
  </w:style>
  <w:style w:type="paragraph" w:styleId="622">
    <w:name w:val="Heading 2"/>
    <w:basedOn w:val="621"/>
    <w:next w:val="621"/>
    <w:link w:val="626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character" w:styleId="626" w:customStyle="1">
    <w:name w:val="Заголовок 2 Знак"/>
    <w:basedOn w:val="623"/>
    <w:link w:val="62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27">
    <w:name w:val="Normal (Web)"/>
    <w:basedOn w:val="621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8">
    <w:name w:val="List Paragraph"/>
    <w:basedOn w:val="621"/>
    <w:uiPriority w:val="34"/>
    <w:qFormat/>
    <w:pPr>
      <w:contextualSpacing/>
      <w:ind w:left="720"/>
    </w:pPr>
  </w:style>
  <w:style w:type="character" w:styleId="629">
    <w:name w:val="Hyperlink"/>
    <w:basedOn w:val="623"/>
    <w:uiPriority w:val="99"/>
    <w:unhideWhenUsed/>
    <w:rPr>
      <w:color w:val="0000ff" w:themeColor="hyperlink"/>
      <w:u w:val="single"/>
    </w:rPr>
  </w:style>
  <w:style w:type="character" w:styleId="630">
    <w:name w:val="Emphasis"/>
    <w:basedOn w:val="623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elibrary.ru/zofshp" TargetMode="External"/><Relationship Id="rId10" Type="http://schemas.openxmlformats.org/officeDocument/2006/relationships/hyperlink" Target="https://www.elibrary.ru/xwvztv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 Семёнов</dc:creator>
  <cp:lastModifiedBy>Рамиля Исламова</cp:lastModifiedBy>
  <cp:revision>3</cp:revision>
  <dcterms:created xsi:type="dcterms:W3CDTF">2022-04-22T19:13:00Z</dcterms:created>
  <dcterms:modified xsi:type="dcterms:W3CDTF">2024-02-22T08:46:52Z</dcterms:modified>
</cp:coreProperties>
</file>