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ПЕДАГОГИКА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 xml:space="preserve">          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ru-RU" w:eastAsia="zh-CN" w:bidi="ar"/>
        </w:rPr>
        <w:t>Шипулина Надежда Александровна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3220" w:firstLineChars="115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педагог дополнительного образования </w:t>
      </w:r>
    </w:p>
    <w:p>
      <w:pPr>
        <w:keepNext w:val="0"/>
        <w:keepLines w:val="0"/>
        <w:widowControl/>
        <w:suppressLineNumbers w:val="0"/>
        <w:ind w:firstLine="3220" w:firstLineChars="115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М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УДО ДОО(п)ц с.Китаевское Ставропольского края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3220" w:firstLineChars="115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с. Китаевское Ставропольский край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3220" w:firstLineChars="115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ВОСПИТАТЕЛЬНАЯ РОЛЬ ИГРЫ ВО ВЗАИМОДЕЙСТВИИ СЕМЬИ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И УЧРЕЖДЕНИЯ ДОПОЛНИТЕЛЬНОГО ОБРАЗОВАНИЯ ДЕТЕЙ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Аннотация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: статья посвящена проблеме взаимодействия учреждения до-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полнительного образования детей и их родителей. Автор раскрывает основное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понятие педагогики – преемственность воспитания, рассматривает важность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роли игры в воспитательном процессе.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Ключевые слова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: игра, дополнительное образование детей, взаимодей-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ствие родителей и педагогов.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Вопрос взаимодействия семьи и учреждения дополнительного образования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детей в интересах развития и воспитания подрастающего поколения весьма ак-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туален. Попытка переложить воспитание в основном на семью, при этом «раз-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грузив» образовательные учреждения с целью интенсификации обучения, не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оправдала надежд, приведя к резкому обострению конфликтов между обеими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сторонами [1, с. 49]. Сегодня стоит вопрос, как достичь оптимальности во взаи-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модействии семьи и учреждения дополнительного образования детей.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 наш взгляд, потенциал возможностей заключается в преемственности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воспитания. Преемственность – одно из важных понятий в педагогике, но до сих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пор изучалась преимущественно преемственность в обучении. Преемственность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воспитании упоминается в ряде работ, но специально не изучалась. В «Педаго-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гическом словаре» [3, с. 168] преемственность определяется как «связь и согла-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сованность ступеней и этапов учебно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воспитательной работы», но весь осталь-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ной текст статьи посвящён исключительно преемственности в обучении, и сама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Актуальные направления научных исследований: от теории к практике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статья озаглавлена «Преемственность в обучении». То же название в «Россий-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ской педагогической энциклопедии», воспитание здесь тоже не рассматривается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[4, с. 168.].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Этнопедагогика – одна из первых отраслей научно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педагогического знания,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которой рассматривается проблема преемственности в воспитании. В учебнике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«Этнопедагогика» Г.Н. Волкова определена сущность данного явления: «Преем-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ственность в воспитании, являясь одной из главных сторон преемственности по-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колений, предполагает единообразие в подходе к детям среди самих воспитате-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лей, согласованность между домашним и общественным воспитанием, педагоги-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ческий оптимизм – опору на достигнутые результаты в воспитании для преодо-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ления отдельных отрицательных черт поведения воспитанников, обеспечение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правильного соотношения между целями воспитания и т.п. [2, с. 22].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Это определение является базовым в нашем исследовании. В ходе исследо-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вания оно было дополнено: преемственность в воспитании требует как согласо-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ванности и единообразия, так и обоюдной дополнительности в целях, средствах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 коммуникациях субъектов воспитания.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переживаемую человечеством историческую эпоху глобализации крайне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обостряются для народов проблемы этнокультурного развития. Проблемы этно-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культурного развития актуальны не только для внутреннего развития народов,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 и для межнациональных взаимоотношений. Необходимость внимания к этно-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культурным вопросам, начиная с этнокультурного воспитания, отмечена в госу-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дарственных документах, в программных выступлениях Президента РФ.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Для обеспечения самобытности развития необходимо целенаправленное эт-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нокультурное воспитание с самого детства, в чём незаменима роль семьи, но од-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новременно и общественного воспитания с его особыми средствами и методами.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Успех решает взаимодействие этих двух сторон воспитания. Такому взаимодей-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ствию посвящено немало исследований, рассматривающих его отдельные ас-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пекты.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Педагогика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Понятие «взаимодействие» является междисциплинарным. Его основные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характеристики рассматриваются в философских (М.К. Мамардашвили, П.А. Со-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рокин, Э. Фромм и др.), социологических (Э. Дюркгейм, М. Мид, Т. Парсонс,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С.С. Фролов и др.), психологических (К.А. Абульханова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Славская, JI.C. Выгот-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ский, В.П. Зинченко, A.A. Леонтьев, К. Роджерс и др.), социально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психологиче-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ских (Г.М. Андреева, A.A. Бодалев, Дж. Морено, Б.Д. Парыгин, Б. Скиннер и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др.), педагогических (Ю.К. Бабанский, Х.И. Лийметс, В.А. Сластенин и др.) кон-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цепциях.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Между тем, в педагогике рассматриваются преимущественно отдельные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виды данных взаимодействий. В «Российской педагогической энциклопедии»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помещена специальная статья В.Д. Семёнова (со ссылками также на В.И. Загвя-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зинского, Л.А. Левшина, Х.Й. Лийметса, Н. Чакырова), посвященная педагоги-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ческому взаимодействию, определяемому как «процесс, проходящий между вос-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питателем и воспитанником в ходе учебно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воспитательной работы и направлен-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ный на развитие личности ребёнка.» Помимо индивидуального, названы и дру-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гие типы педагогических взаимоотношений: «Педагогическое взаимодействие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может исследоваться как процесс индивидуальный (между воспитателем и вос-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питанником), социально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психологический (в коллективе) и как интегральный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(объединяющий различные воздействия в конкретном обществе)». О последних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двух типах больше ничего не говорится, по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видимому, потому, что они предпо-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лагают не сугубо педагогический, а междисциплинарный подход к их изучению,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ещё недостаточно разработанный.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Роль игры в воспитании подрастающего поколения всегда являлась незаме-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нимой. Сейчас актуально возрождение неоправданно забытых традиционных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национальных игр и форм их организации. Возрождение и распространение тра-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диционных национально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народных игр лучше всего осуществляется на базе под-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готовки и проведения народных празднеств, многие из которых тоже потребова-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лось возродить к новой жизни [1, с. 54]. Возьмем, например, национально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спор-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тивный праздник малая Джангариада, «Джангрин ачнр» – «Внуки Джангара»,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«Мама, папа, я – спортивная семья», традиционный национальный конкурс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Актуальные направления научных исследований: от теории к практике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«Ээжн келн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энкр зоор» – «Материнский язык – родное богатство» (знатоки наци-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ональной культуры), проводимые на базе Дворца детского творчества Респуб-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лика Калмыкия.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Главное воспитательное назначение игры в том, что она позволяет ребенку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перейти от отдельных еще неосмысленных действий к целенаправленной чело-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веческой деятельности – учит ставить цели, подбирать для нее соответствующие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действия, сравнивать результат с поставленной целью и т.д. Это как раз то, что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важнее всего освоить в дошкольном детстве, почему игра и становится здесь ве-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дущим видом деятельности. Но игра при этом выполняет и другие функции: раз-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вивает духовную культуру (игры умственные, художественные и др.), культуру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труда (строительные, конструкторские и др. игры), коммуникативную культуру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 духовную культуру одновременно (ролевые игры) и др.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 наш взгляд для успешного взаимодействия учреждения дополнитель-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ного образования детей и семьи необходимо: постоянное обновление содержа-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ния, форм, методов работы с родителями; пробуждение у родителей интереса к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процессу самообразования в области психолого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педагогических знаний; расши-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рение сферы совместной деятельности, общения педагогов и родителей с детьми.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Список литературы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Григорьев В.М., Мучкаева Д.В. Преемственность этнокультурного воспи-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тания в семье и учреждениях образования // Педагогика. – 2013. – №10. – С.49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–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57.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Волков Г.Н. Этнопедагогика. Учеб. для студ. сред. и высш. пед. учеб. за-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ведений. – М.: «Академия», 1999. – С. 22.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3. Педагогический словарь. В 2 томах. Т. 2. – М.: Изд</w:t>
      </w:r>
      <w:r>
        <w:rPr>
          <w:rFonts w:hint="default" w:ascii="Times New Roman" w:hAnsi="Times New Roman" w:eastAsia="Cambria Math" w:cs="Times New Roman"/>
          <w:color w:val="000000"/>
          <w:kern w:val="0"/>
          <w:sz w:val="28"/>
          <w:szCs w:val="28"/>
          <w:lang w:val="en-US" w:eastAsia="zh-CN" w:bidi="ar"/>
        </w:rPr>
        <w:t>‐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во АПН, 1960. – с. 168.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Российская педагогическая энциклопедия. В 2 томах. Т. 2. – М.: Большая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российская энциклопедия, 1999. – с. 168</w:t>
      </w:r>
    </w:p>
    <w:p/>
    <w:sectPr>
      <w:pgSz w:w="11906" w:h="16838"/>
      <w:pgMar w:top="840" w:right="906" w:bottom="5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F464D"/>
    <w:rsid w:val="320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2024-01-29T15:17:00Z</dcterms:created>
  <dc:creator>Margosha</dc:creator>
  <cp:lastModifiedBy>Margosha</cp:lastModifiedBy>
  <dcterms:modified xsi:type="dcterms:W3CDTF">2024-01-29T15:26:44Z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33D8A01CD6A146C890C8882D0F20B519_11</vt:lpwstr>
  </property>
</Properties>
</file>