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b/>
          <w:bCs/>
          <w:color w:val="2c2d2e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2c2d2e"/>
          <w:sz w:val="24"/>
          <w:szCs w:val="24"/>
          <w:shd w:val="clear" w:color="auto" w:fill="ffffff"/>
        </w:rPr>
        <w:t>КОНВЕРСИЯ ВЫСОКИХ СПОРТИВНЫХ ТЕХНОЛОГИЙ КАК МЕТОДИЧЕСКИЙ ПРИНЦИП РАЗВИТИЯ СТУДЕНЧЕСКОГО СПОРТА</w:t>
      </w:r>
    </w:p>
    <w:p>
      <w:pPr>
        <w:spacing w:after="0" w:line="288" w:lineRule="auto"/>
        <w:ind w:firstLine="709"/>
        <w:jc w:val="center"/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К.П.Н. Доцент 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кафедры № 9 Вольский В.В</w:t>
      </w:r>
      <w:r>
        <w:rPr>
          <w:rFonts w:ascii="Arial" w:cs="Arial" w:hAnsi="Arial"/>
          <w:color w:val="2c2d2e"/>
          <w:sz w:val="23"/>
          <w:szCs w:val="23"/>
          <w:shd w:val="clear" w:color="auto" w:fill="ffffff"/>
        </w:rPr>
        <w:t xml:space="preserve">., 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Бирюкова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Д.А.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К.П.Н. Доцент 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кафедры № 9 </w:t>
      </w:r>
      <w:r>
        <w:rPr>
          <w:rFonts w:ascii="Times New Roman" w:cs="Times New Roman" w:hAnsi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Даценко А.А.</w:t>
      </w:r>
    </w:p>
    <w:p>
      <w:pPr>
        <w:spacing w:after="0" w:line="288" w:lineRule="auto"/>
        <w:ind w:firstLine="709"/>
        <w:jc w:val="center"/>
        <w:rPr>
          <w:rFonts w:ascii="Times New Roman" w:cs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iCs/>
          <w:color w:val="2c2d2e"/>
          <w:sz w:val="24"/>
          <w:szCs w:val="24"/>
          <w:shd w:val="clear" w:color="auto" w:fill="ffffff"/>
        </w:rPr>
        <w:t xml:space="preserve">(Санкт-Петербургский государственный университет гражданской авиации </w:t>
      </w:r>
      <w:r>
        <w:rPr>
          <w:rFonts w:ascii="Times New Roman" w:cs="Times New Roman" w:hAnsi="Times New Roman"/>
          <w:i/>
          <w:iCs/>
          <w:color w:val="333333"/>
          <w:sz w:val="24"/>
          <w:szCs w:val="24"/>
          <w:shd w:val="clear" w:color="auto" w:fill="ffffff"/>
        </w:rPr>
        <w:t>имени Главного маршала авиации А.А. Новикова)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Аннотация.</w:t>
      </w:r>
      <w:r>
        <w:rPr>
          <w:rFonts w:ascii="Times New Roman" w:cs="Times New Roman" w:hAnsi="Times New Roman"/>
          <w:sz w:val="24"/>
          <w:szCs w:val="24"/>
        </w:rPr>
        <w:t xml:space="preserve"> В данной статье</w:t>
      </w:r>
      <w:r>
        <w:rPr>
          <w:rFonts w:ascii="Times New Roman" w:cs="Times New Roman" w:hAnsi="Times New Roman"/>
          <w:sz w:val="24"/>
          <w:szCs w:val="24"/>
        </w:rPr>
        <w:t xml:space="preserve"> рассказано, что такое конверсия высоких спортивных технологий, какие факторы нужно учитывать для достижения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высокой конверсии высоких спортивных технологий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.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Ключевые слова:</w:t>
      </w:r>
      <w:r>
        <w:rPr>
          <w:rFonts w:ascii="Times New Roman" w:cs="Times New Roman" w:hAnsi="Times New Roman"/>
          <w:sz w:val="24"/>
          <w:szCs w:val="24"/>
        </w:rPr>
        <w:t xml:space="preserve"> Физическая культура, </w:t>
      </w:r>
      <w:r>
        <w:rPr>
          <w:rFonts w:ascii="Times New Roman" w:cs="Times New Roman" w:hAnsi="Times New Roman"/>
          <w:sz w:val="24"/>
          <w:szCs w:val="24"/>
        </w:rPr>
        <w:t>спорт,</w:t>
      </w:r>
      <w:r>
        <w:rPr>
          <w:rFonts w:ascii="Times New Roman" w:cs="Times New Roman" w:hAnsi="Times New Roman"/>
          <w:sz w:val="24"/>
          <w:szCs w:val="24"/>
        </w:rPr>
        <w:t xml:space="preserve"> технологии, конверсия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CONVERSION OF HIGH SPORTS TECHNOLOGIES AS A METHODOLOGICAL PRINCIPLE OF STUDENT SPORTS DEVELOPMENT</w:t>
      </w:r>
    </w:p>
    <w:p>
      <w:pPr>
        <w:spacing w:after="0" w:line="288" w:lineRule="auto"/>
        <w:ind w:firstLine="709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en-US"/>
        </w:rPr>
        <w:t>Volsky V.V., Biryukova D.A., Datsenko A.A.</w:t>
      </w:r>
    </w:p>
    <w:p>
      <w:pPr>
        <w:spacing w:after="0" w:line="288" w:lineRule="auto"/>
        <w:ind w:firstLine="709"/>
        <w:jc w:val="center"/>
        <w:rPr>
          <w:rFonts w:ascii="Times New Roman" w:cs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(St. Petersburg State University of Civil Aviation named after Chief Marshal of Aviation A.A. Novikov)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Annotation.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This article describes what is the conversion of high-tech sports, what factors need to be taken into account to achieve a high conversion of high-tech sports. 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Keywords: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Physical culture, sports, technology, conversion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>
      <w:pPr>
        <w:spacing w:after="0" w:line="288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Актуальность данной темы связана с постоянным развитием спортивных технологий и инноваций, которые могут значительно улучшить тренировочный процесс и достижение результатов в студенческом спорте. Студенты-спортсмены, как правило, являются молодыми и амбициозными спортсменами, которые стремятся к достижению высоких результатов. Использование высоких спортивных технологий может помочь им в оптимизации тренировочного процесса, контроле нагрузки и предотвращении травм, а также в достижении поставленных целей. Кроме того, использование высоких спортивных технологий в студенческом спорте может способствовать повышению общего уровня спорта в учебных заведениях. Это может привлечь больше студентов к занятиям спортом, улучшить качество тренировок и соревнований, а также создать благоприятную спортивную среду в учебных заведениях. Таким образом, конверсия высоких спортивных технологий в методический принцип развития студенческого спорта является актуальной и перспективной темой, которая может принести значительные пользы как студентам-спортсменам, так и учебным заведениям.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Конверсия высоких спортивных технологий относится к процессу превращения новых технологий и инноваций в практические и применимые решения для спорта. Это может включать различные аспекты, такие как разработка и производство новых спортивных товаров, создание программного обеспечения для тренировок и анализа данных, использование датчиков и устройств для мониторинга физической активности и многое другое. Для достижения высокой конверсии высоких спортивных технологий необходимо учитывать несколько факторов: 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1. Исследования и разработки: необходимо инвестировать в научные исследования и разработки новых технологий, которые будут полезны для спорта. Это может включать разработку новых материалов, алгоритмов или устройств, которые улучшат производительность спортсменов.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2. Тестирование и адаптация: после создания новых технологий они должны быть тщательно протестированы и адаптированы к требованиям спортивной сферы. Это может включать тестирование на спортсменах, тренировочные лагеря или соревнования. 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3. Обучение и обратная связь: важно обучить спортсменов, тренеров и других участников спортивного сообщества использованию новых технологий. Также важно получать обратную связь от пользователей, чтобы улучшить и доработать технологии в будущем.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4. Маркетинг и продвижение: для успешной конверсии высоких спортивных технологий необходимо также проводить маркетинговые кампании и продвигать новые продукты и решения на рынке. Это может включать рекламу, партнерские отношения с профессиональными спортсменами или командами, а также участие на спортивных выставках и мероприятиях. 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5. Сотрудничество и партнерство: важно сотрудничать с другими компаниями, учеными и спортивными организациями, чтобы объединить знания и ресурсы для разработки и внедрения новых технологий в спорт. Высокая конверсия высоких спортивных технологий может привести к улучшению производительности спортсменов, снижению травматизма, улучшению тренировочного процесса и повышению общего уровня спорта.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Конверсия высоких спортивных технологий также может быть использована в методическом принципе развития студенческого спорта. Это означает, что новые технологии и инновации могут быть интегрированы в тренировочные программы и методики для улучшения производительности студенческих спортсменов. Например, использование программного обеспечения для тренировок и анализа данных может помочь тренерам и спортсменам в оптимизации тренировочного процесса, а также в отслеживании прогресса и достижении поставленных целей. Также использование датчиков и устройств для мониторинга физической активности может помочь в контроле нагрузки и предотвращении возможных травм. Для успешной конверсии высоких спортивных технологий в студенческом спорте необходимо учитывать те же факторы, которые были указаны ранее: исследования и разработки, тестирование и адаптация, обучение и обратная связь, маркетинг и продвижение, а также сотрудничество и партнерство. Применение высоких спортивных технологий в студенческом спорте может помочь студентам-спортсменам в достижении высоких результатов, улучшении тренировочного процесса и повышении общего уровня спорта в учебных заведениях.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Вывод из данной темы заключается в том, что использование высоких спортивных технологий в студенческом спорте может быть эффективным методическим принципом для развития спортивных навыков и достижения лучших результатов. Это позволяет студентам-спортсменам оптимизировать свою тренировочную программу, контролировать нагрузку и предотвращать возможные травмы. Кроме того, использование таких технологий может способствовать повышению общего уровня спорта в учебных заведениях и привлечению большего количества студентов к занятиям спортом. Таким образом, конверсия высоких спортивных технологий в методический принцип развития студенческого спорта является актуальной и перспективной темой, которая может принести значительные пользы как студентам-спортсменам, так и учебным заведениям.</w:t>
      </w: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88" w:lineRule="auto"/>
        <w:ind w:firstLine="709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</w:p>
    <w:p>
      <w:pPr>
        <w:spacing w:after="0" w:line="288" w:lineRule="auto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288" w:lineRule="auto"/>
        <w:jc w:val="both"/>
        <w:rPr>
          <w:rFonts w:ascii="Times New Roman" w:cs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Чермит К.Д., Неверкович С.Д., Заболотний А.Г., Ахметов С.М. КОНВЕРСИЯ СПОРТИВНЫХ ТЕХНОЛОГИЙ В СИСТЕМЕ СПОРТИЗИРОВАННОГО ФИЗИЧЕСКОГО ВОСПИТАНИЯ // ТиПФК. 2022. №5. URL: https://cyberleninka.ru/article/n/konversiya-sportivnyh-tehnologiy-v-sisteme-sportizirovannogo-fizicheskogo-vospitaniya (дата обращения: 08.10.2023).</w:t>
      </w:r>
    </w:p>
    <w:p>
      <w:pPr>
        <w:spacing w:after="0" w:line="288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Мухаев С.В., Семёнов Л.А. КОНВЕРСИЯ НАУКОЁМКИХ СПОРТИВНЫХ ТЕХНОЛОГИЙ КАК МЕХАНИЗМ МОДЕРНИЗАЦИИ СИСТЕМ СПОРТИВНОЙ ТРЕНИРОВКИ // ТиПФК. 2021. №5. URL: https://cyberleninka.ru/article/n/konversiya-naukoyomkih-sportivnyh-tehnologiy-kak-mehanizm-modernizatsii-sistem-sportivnoy-trenirovki (дата обращения: 08.10.2023).</w:t>
      </w: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3.     Бакай А.В. ОЛИМПИЙСКАЯ КУЛЬТУРА В КОНТЕКСТЕ КОНВЕРСИИ ВЫСОКИХ ТЕХНОЛОГИЙ СПОРТИВНОЙ ТРЕНИРОВКИ // ЕГИ. 2018. №2 (20). URL: https://cyberleninka.ru/article/n/olimpiyskaya-kultura-v-kontekste-konversii-vysokih-tehnologiy-sportivnoy-trenirovki (дата обращения: 08.10.2023).</w:t>
      </w: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Рахматов, А. И.  Армспорт : учебное пособие для вузов / А. И. Рахматов. — 2-е изд. — Москва : Издательство Юрайт, 2023. — 136 с. — (Высшее образование). — ISBN 978-5-534-15449-8. — Текст : электронный // Образовательная платформа Юрайт [сайт]. — URL: https://urait.ru/bcode/519326 (дата обращения: 08.10.2023).</w:t>
      </w: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5.     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2023. — 599 с. — (Профессиональное образование). — ISBN 978-5-534-13554-1. — Текст : электронный // Образовательная платформа Юрайт [сайт]. — URL: https://urait.ru/bcode/517442 (дата обращения: 08.10.2023).</w:t>
      </w: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</w:p>
    <w:p>
      <w:pPr>
        <w:spacing w:after="0" w:line="288" w:lineRule="auto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6.  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ISBN 978-5-534-14684-4. — Текст : электронный // Образовательная платформа Юрайт [сайт]. — URL: https://urait.ru/bcode/520227 (дата обращения: 08.10.2023).</w:t>
      </w:r>
    </w:p>
    <w:sectPr>
      <w:pgSz w:w="11906" w:h="16838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C4"/>
    <w:rsid w:val="003C6BCB"/>
    <w:rsid w:val="003E7427"/>
    <w:rsid w:val="00433191"/>
    <w:rsid w:val="00453F43"/>
    <w:rsid w:val="00584B32"/>
    <w:rsid w:val="007F65C4"/>
    <w:rsid w:val="00886581"/>
    <w:rsid w:val="008B31D1"/>
    <w:rsid w:val="008F0BB6"/>
    <w:rsid w:val="009D2975"/>
    <w:rsid w:val="00AD2A73"/>
    <w:rsid w:val="00B377E4"/>
    <w:rsid w:val="00B50BE6"/>
    <w:rsid w:val="00C51986"/>
    <w:rsid w:val="00D10D85"/>
    <w:rsid w:val="00D243A8"/>
    <w:rsid w:val="00E71689"/>
    <w:rsid w:val="00F1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4896"/>
  <w15:chartTrackingRefBased/>
  <w15:docId w15:val="{D7D452FB-C462-4DC2-B5CC-5D4FBFCDB9E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Time">
    <w:name w:val="Time"/>
    <w:basedOn w:val="DefaultParagraphFont"/>
    <w:uiPriority w:val="99"/>
  </w:style>
  <w:style w:type="character" w:customStyle="1" w:styleId="I18n">
    <w:name w:val="I18n"/>
    <w:basedOn w:val="DefaultParagraphFont"/>
    <w:uiPriority w:val="99"/>
  </w:style>
  <w:style w:type="character" w:customStyle="1" w:styleId="Peer-title">
    <w:name w:val="Peer-title"/>
    <w:basedOn w:val="DefaultParagraphFont"/>
    <w:uiPriority w:val="99"/>
  </w:style>
  <w:style w:type="character" w:customStyle="1" w:styleId="Tgico">
    <w:name w:val="Tgico"/>
    <w:basedOn w:val="DefaultParagraphFont"/>
    <w:uiPriority w:val="99"/>
  </w:style>
  <w:style w:type="paragraph" w:styleId="HTMLTopofForm">
    <w:name w:val="HTML Top of Form"/>
    <w:basedOn w:val="Normal"/>
    <w:next w:val="Normal"/>
    <w:link w:val="Z-НачалоформыЗнак"/>
    <w:hidden w:val="on"/>
    <w:uiPriority w:val="99"/>
    <w:semiHidden w:val="on"/>
    <w:unhideWhenUsed w:val="on"/>
    <w:pPr>
      <w:pBdr>
        <w:bottom w:val="single" w:color="auto" w:sz="6" w:space="1"/>
      </w:pBdr>
      <w:spacing w:after="0" w:line="240" w:lineRule="auto"/>
      <w:jc w:val="center"/>
    </w:pPr>
    <w:rPr>
      <w:rFonts w:ascii="Arial" w:cs="Arial" w:eastAsia="Times New Roman" w:hAnsi="Arial"/>
      <w:vanish/>
      <w:sz w:val="16"/>
      <w:szCs w:val="16"/>
      <w:lang w:eastAsia="ru-RU"/>
    </w:rPr>
  </w:style>
  <w:style w:type="character" w:customStyle="1" w:styleId="Z-НачалоформыЗнак">
    <w:name w:val="Z-Начало формы Знак"/>
    <w:basedOn w:val="DefaultParagraphFont"/>
    <w:link w:val="HTMLTopofForm"/>
    <w:uiPriority w:val="99"/>
    <w:semiHidden w:val="on"/>
    <w:rPr>
      <w:rFonts w:ascii="Arial" w:cs="Arial" w:eastAsia="Times New Roman" w:hAnsi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КонецформыЗнак"/>
    <w:hidden w:val="on"/>
    <w:uiPriority w:val="99"/>
    <w:semiHidden w:val="on"/>
    <w:unhideWhenUsed w:val="on"/>
    <w:pPr>
      <w:pBdr>
        <w:top w:val="single" w:color="auto" w:sz="6" w:space="1"/>
      </w:pBdr>
      <w:spacing w:after="0" w:line="240" w:lineRule="auto"/>
      <w:jc w:val="center"/>
    </w:pPr>
    <w:rPr>
      <w:rFonts w:ascii="Arial" w:cs="Arial" w:eastAsia="Times New Roman" w:hAnsi="Arial"/>
      <w:vanish/>
      <w:sz w:val="16"/>
      <w:szCs w:val="16"/>
      <w:lang w:eastAsia="ru-RU"/>
    </w:rPr>
  </w:style>
  <w:style w:type="character" w:customStyle="1" w:styleId="Z-КонецформыЗнак">
    <w:name w:val="Z-Конец формы Знак"/>
    <w:basedOn w:val="DefaultParagraphFont"/>
    <w:link w:val="HTMLBottomofForm"/>
    <w:uiPriority w:val="99"/>
    <w:semiHidden w:val="on"/>
    <w:rPr>
      <w:rFonts w:ascii="Arial" w:cs="Arial" w:eastAsia="Times New Roman" w:hAnsi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6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9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2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8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</cp:coreProperties>
</file>