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pStyle w:val="PlainText"/>
        <w:ind w:left="659" w:right="494"/>
        <w:rPr/>
      </w:pPr>
      <w:r>
        <w:rPr>
          <w:rFonts w:ascii="Times New Roman" w:cs="Times New Roman" w:hAnsi="Times New Roman"/>
          <w:b/>
          <w:color w:val="000000" w:themeColor="dk1"/>
          <w:sz w:val="56"/>
          <w:szCs w:val="34"/>
        </w:rPr>
        <w:drawing xmlns:mc="http://schemas.openxmlformats.org/markup-compatibility/2006">
          <wp:anchor allowOverlap="1" behindDoc="1" distT="0" distB="0" distL="118872" distR="118872" layoutInCell="1" locked="0" relativeHeight="503314433" simplePos="0">
            <wp:simplePos x="0" y="0"/>
            <wp:positionH relativeFrom="margin">
              <wp:posOffset>-267970</wp:posOffset>
            </wp:positionH>
            <wp:positionV relativeFrom="margin">
              <wp:posOffset>-236855</wp:posOffset>
            </wp:positionV>
            <wp:extent cx="7475855" cy="106152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5855" cy="1061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6">
      <w:pPr>
        <w:pStyle w:val="PlainText"/>
        <w:ind w:left="659" w:right="494"/>
        <w:rPr/>
      </w:pPr>
    </w:p>
    <w:p w14:paraId="00000007">
      <w:pPr>
        <w:pStyle w:val="NoSpacing"/>
        <w:jc w:val="center"/>
        <w:rPr>
          <w:rFonts w:ascii="Times New Roman" w:cs="Times New Roman" w:hAnsi="Times New Roman"/>
          <w:color w:val="ff0000"/>
          <w:sz w:val="28"/>
          <w:szCs w:val="28"/>
        </w:rPr>
      </w:pPr>
    </w:p>
    <w:p w14:paraId="00000008">
      <w:pPr>
        <w:pStyle w:val="NoSpacing"/>
        <w:jc w:val="center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Консультация для родителей</w:t>
      </w:r>
    </w:p>
    <w:p w14:paraId="00000009">
      <w:pPr>
        <w:pStyle w:val="NoSpacing"/>
        <w:jc w:val="center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«Лего- конструирование – фактор развития одаренности детей</w:t>
      </w:r>
    </w:p>
    <w:p w14:paraId="0000000A">
      <w:pPr>
        <w:pStyle w:val="NoSpacing"/>
        <w:jc w:val="center"/>
        <w:rPr>
          <w:rFonts w:ascii="Times New Roman" w:cs="Times New Roman" w:hAnsi="Times New Roman"/>
          <w:b/>
          <w:color w:val="ff0000"/>
          <w:sz w:val="56"/>
          <w:szCs w:val="34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 xml:space="preserve"> дошкольного возраста».</w:t>
      </w:r>
    </w:p>
    <w:p w14:paraId="0000000B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Применяя конструктор, мы ставим перед воспитанниками понятные, простые и увлекательные задачи, достигая которых они, сами того не замечая, обучаются.</w:t>
      </w:r>
    </w:p>
    <w:p w14:paraId="0000000C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</w:rPr>
      </w:pPr>
    </w:p>
    <w:p w14:paraId="0000000D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В процессе развития способностей к конструированию у ребенка активизируются мыслительные процессы, появляется интерес к творческому решению поставленных задач, самостоятельности и изобретательности, стремление к поиску нового, оригинального, проявляется инициативность, а значит, конструктор способствует развитию одаренности.</w:t>
      </w:r>
    </w:p>
    <w:p w14:paraId="0000000E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</w:rPr>
      </w:pPr>
    </w:p>
    <w:p w14:paraId="0000000F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</w:rPr>
      </w:pPr>
    </w:p>
    <w:p w14:paraId="00000010">
      <w:pPr>
        <w:pStyle w:val="PlainText"/>
        <w:ind w:left="659" w:right="494"/>
        <w:rPr>
          <w:rFonts w:ascii="Times New Roman" w:cs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Развитие одаренности детей с помощью LEGO</w:t>
      </w:r>
    </w:p>
    <w:p w14:paraId="00000011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</w:rPr>
      </w:pPr>
    </w:p>
    <w:p w14:paraId="00000012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Основной фактор развития одаренности путем использования LEGO - это, конечно, само по себе конструирование, при помощи которого дети учатся выбирать подходящие детали, создавать модели, они узнают много нового.</w:t>
      </w:r>
    </w:p>
    <w:p w14:paraId="00000013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</w:rPr>
      </w:pPr>
    </w:p>
    <w:p w14:paraId="00000014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Воспитательная и развивающая деятельность с конструкторами LEGO способствует развитию пространственного мышления, поскольку объемное конструирование гораздо сложнее выкладывания моделей на плоскости. Ребенок при этом уделяет внимание не только общему виду создаваемой конструкции, но и каждой ее детали.</w:t>
      </w:r>
    </w:p>
    <w:p w14:paraId="00000015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</w:rPr>
      </w:pPr>
    </w:p>
    <w:p w14:paraId="00000016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Наряду с этим, дети знакомятся с пространственными показателями: симметричность и асимметричность.</w:t>
      </w:r>
    </w:p>
    <w:p w14:paraId="00000017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</w:rPr>
      </w:pPr>
    </w:p>
    <w:p w14:paraId="00000018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Дошкольники в процессе этой деятельности развивают математические способности, когда пересчитывают детали, крепления на пластине или блоке, когда вычисляют нужное количество деталей и их длину.</w:t>
      </w:r>
    </w:p>
    <w:p w14:paraId="00000019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Также лего-конструирование положительно влияет на развитие речи: дети задают вопросы взрослым о разных объектах и явлениях. Это развивает навыки коммуникации.</w:t>
      </w:r>
    </w:p>
    <w:p w14:paraId="0000001A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</w:rPr>
      </w:pPr>
    </w:p>
    <w:p w14:paraId="0000001B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Одна из главных целей лего-конструирования - научить детей работать вместе и эффективно. Ведь сегодня совместное освоение знаний и развитие умений, а также интерактивное взаимодействие востребовано как никогда раньше.</w:t>
      </w:r>
    </w:p>
    <w:p w14:paraId="0000001C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</w:rPr>
      </w:pPr>
    </w:p>
    <w:p w14:paraId="0000001D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Во время групповой работы дети не просто общаются, они обмениваются советами, как закрепить детали, обмениваются деталями, а также могут объединить свои модели для создания общей масштабной конструкции.</w:t>
      </w:r>
    </w:p>
    <w:p w14:paraId="0000001E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</w:rPr>
      </w:pPr>
    </w:p>
    <w:p w14:paraId="0000001F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Важно организовать условия, в которых участники могли бы совместно решать проблемы, общаясь и советуясь друг с другом, а также учиться на ошибках.</w:t>
      </w:r>
    </w:p>
    <w:p w14:paraId="00000020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</w:rPr>
      </w:pPr>
    </w:p>
    <w:p w14:paraId="00000021">
      <w:pPr>
        <w:pStyle w:val="PlainText"/>
        <w:ind w:left="659" w:right="494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Роль родителей также важна в развитии одаренности дошкольников.</w:t>
      </w:r>
    </w:p>
    <w:p w14:paraId="00000022">
      <w:pPr>
        <w:pStyle w:val="PlainText"/>
        <w:ind w:left="659" w:right="494"/>
        <w:rPr>
          <w:rFonts w:ascii="Times New Roman" w:cs="Times New Roman" w:hAnsi="Times New Roman"/>
          <w:b/>
          <w:color w:val="ff0000"/>
          <w:sz w:val="56"/>
          <w:szCs w:val="34"/>
        </w:rPr>
      </w:pPr>
    </w:p>
    <w:sectPr>
      <w:footerReference w:type="default" r:id="rId15"/>
      <w:type w:val="continuous"/>
      <w:pgSz w:w="11906" w:h="16838"/>
      <w:pgMar w:top="386" w:right="250" w:bottom="1134" w:left="4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00000000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23">
    <w:pPr>
      <w:pStyle w:val="Footer"/>
      <w:jc w:val="right"/>
      <w:rPr/>
    </w:pPr>
  </w:p>
  <w:p w14:paraId="00000024">
    <w:pPr>
      <w:pStyle w:val="Footer"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numFmt w:val="bullet"/>
      <w:lvlText w:val=""/>
      <w:lvlJc w:val="left"/>
      <w:pPr>
        <w:ind w:left="1440" w:hanging="360"/>
      </w:pPr>
      <w:rPr>
        <w:rFonts w:ascii="Symbol" w:cs="Times New Roman" w:eastAsia="Times New Roman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numFmt w:val="bullet"/>
      <w:lvlText w:val=""/>
      <w:lvlJc w:val="left"/>
      <w:pPr>
        <w:ind w:left="720" w:hanging="360"/>
      </w:pPr>
      <w:rPr>
        <w:rFonts w:ascii="PT Astra Serif" w:cstheme="minorBidi" w:eastAsiaTheme="minorHAnsi" w:hAnsi="PT Astra Serif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 w:tentative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468" w:hanging="36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ind w:left="1188" w:hanging="360"/>
      </w:pPr>
    </w:lvl>
    <w:lvl w:ilvl="2" w:tentative="1">
      <w:start w:val="1"/>
      <w:numFmt w:val="lowerRoman"/>
      <w:lvlText w:val="%3."/>
      <w:lvlJc w:val="right"/>
      <w:pPr>
        <w:ind w:left="1908" w:hanging="180"/>
      </w:pPr>
    </w:lvl>
    <w:lvl w:ilvl="3" w:tentative="1">
      <w:start w:val="1"/>
      <w:numFmt w:val="decimal"/>
      <w:lvlText w:val="%4."/>
      <w:lvlJc w:val="left"/>
      <w:pPr>
        <w:ind w:left="2628" w:hanging="360"/>
      </w:pPr>
    </w:lvl>
    <w:lvl w:ilvl="4" w:tentative="1">
      <w:start w:val="1"/>
      <w:numFmt w:val="lowerLetter"/>
      <w:lvlText w:val="%5."/>
      <w:lvlJc w:val="left"/>
      <w:pPr>
        <w:ind w:left="3348" w:hanging="360"/>
      </w:pPr>
    </w:lvl>
    <w:lvl w:ilvl="5" w:tentative="1">
      <w:start w:val="1"/>
      <w:numFmt w:val="lowerRoman"/>
      <w:lvlText w:val="%6."/>
      <w:lvlJc w:val="right"/>
      <w:pPr>
        <w:ind w:left="4068" w:hanging="180"/>
      </w:pPr>
    </w:lvl>
    <w:lvl w:ilvl="6" w:tentative="1">
      <w:start w:val="1"/>
      <w:numFmt w:val="decimal"/>
      <w:lvlText w:val="%7."/>
      <w:lvlJc w:val="left"/>
      <w:pPr>
        <w:ind w:left="4788" w:hanging="360"/>
      </w:pPr>
    </w:lvl>
    <w:lvl w:ilvl="7" w:tentative="1">
      <w:start w:val="1"/>
      <w:numFmt w:val="lowerLetter"/>
      <w:lvlText w:val="%8."/>
      <w:lvlJc w:val="left"/>
      <w:pPr>
        <w:ind w:left="5508" w:hanging="360"/>
      </w:pPr>
    </w:lvl>
    <w:lvl w:ilvl="8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entative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3"/>
      <w:numFmt w:val="bullet"/>
      <w:lvlText w:val=""/>
      <w:lvlJc w:val="left"/>
      <w:pPr>
        <w:ind w:left="1440" w:hanging="360"/>
      </w:pPr>
      <w:rPr>
        <w:rFonts w:ascii="PT Astra Serif" w:cstheme="minorBidi" w:eastAsiaTheme="minorHAnsi" w:hAnsi="PT Astra Serif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multiLevelType w:val="hybridMultilevel"/>
    <w:lvl w:ilvl="0" w:tentative="0"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 w:tentative="0">
      <w:numFmt w:val="bullet"/>
      <w:lvlText w:val=""/>
      <w:lvlJc w:val="left"/>
      <w:pPr>
        <w:ind w:left="720" w:hanging="360"/>
      </w:pPr>
      <w:rPr>
        <w:rFonts w:ascii="PT Astra Serif" w:cstheme="minorBidi" w:eastAsiaTheme="minorHAnsi" w:hAnsi="PT Astra Serif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4"/>
  </w:num>
  <w:num w:numId="5">
    <w:abstractNumId w:val="29"/>
  </w:num>
  <w:num w:numId="6">
    <w:abstractNumId w:val="0"/>
  </w:num>
  <w:num w:numId="7">
    <w:abstractNumId w:val="21"/>
  </w:num>
  <w:num w:numId="8">
    <w:abstractNumId w:val="11"/>
  </w:num>
  <w:num w:numId="9">
    <w:abstractNumId w:val="32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23"/>
  </w:num>
  <w:num w:numId="15">
    <w:abstractNumId w:val="9"/>
  </w:num>
  <w:num w:numId="16">
    <w:abstractNumId w:val="31"/>
  </w:num>
  <w:num w:numId="17">
    <w:abstractNumId w:val="15"/>
  </w:num>
  <w:num w:numId="18">
    <w:abstractNumId w:val="17"/>
  </w:num>
  <w:num w:numId="19">
    <w:abstractNumId w:val="2"/>
  </w:num>
  <w:num w:numId="20">
    <w:abstractNumId w:val="20"/>
  </w:num>
  <w:num w:numId="21">
    <w:abstractNumId w:val="26"/>
  </w:num>
  <w:num w:numId="22">
    <w:abstractNumId w:val="18"/>
  </w:num>
  <w:num w:numId="23">
    <w:abstractNumId w:val="7"/>
  </w:num>
  <w:num w:numId="24">
    <w:abstractNumId w:val="13"/>
  </w:num>
  <w:num w:numId="25">
    <w:abstractNumId w:val="3"/>
  </w:num>
  <w:num w:numId="26">
    <w:abstractNumId w:val="12"/>
  </w:num>
  <w:num w:numId="27">
    <w:abstractNumId w:val="27"/>
  </w:num>
  <w:num w:numId="28">
    <w:abstractNumId w:val="28"/>
  </w:num>
  <w:num w:numId="29">
    <w:abstractNumId w:val="24"/>
  </w:num>
  <w:num w:numId="30">
    <w:abstractNumId w:val="1"/>
  </w:num>
  <w:num w:numId="31">
    <w:abstractNumId w:val="10"/>
  </w:num>
  <w:num w:numId="32">
    <w:abstractNumId w:val="1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CB"/>
    <w:rsid w:val="0004038F"/>
    <w:rsid w:val="0009576B"/>
    <w:rsid w:val="000F4170"/>
    <w:rsid w:val="00110A69"/>
    <w:rsid w:val="0016387F"/>
    <w:rsid w:val="00195900"/>
    <w:rsid w:val="001B59B5"/>
    <w:rsid w:val="001D0262"/>
    <w:rsid w:val="001F1DF8"/>
    <w:rsid w:val="00253876"/>
    <w:rsid w:val="0028557A"/>
    <w:rsid w:val="002A0478"/>
    <w:rsid w:val="0035411D"/>
    <w:rsid w:val="003F04BD"/>
    <w:rsid w:val="0041516E"/>
    <w:rsid w:val="0049128D"/>
    <w:rsid w:val="005515C7"/>
    <w:rsid w:val="00566612"/>
    <w:rsid w:val="005B473D"/>
    <w:rsid w:val="005C2996"/>
    <w:rsid w:val="005F5FC3"/>
    <w:rsid w:val="00650F69"/>
    <w:rsid w:val="006C6990"/>
    <w:rsid w:val="006D536D"/>
    <w:rsid w:val="006F56CE"/>
    <w:rsid w:val="0071595E"/>
    <w:rsid w:val="00744A2B"/>
    <w:rsid w:val="008B2172"/>
    <w:rsid w:val="0091281E"/>
    <w:rsid w:val="009A67DC"/>
    <w:rsid w:val="00A34160"/>
    <w:rsid w:val="00B54626"/>
    <w:rsid w:val="00B7103A"/>
    <w:rsid w:val="00B8377A"/>
    <w:rsid w:val="00BF1204"/>
    <w:rsid w:val="00C2043A"/>
    <w:rsid w:val="00C706CB"/>
    <w:rsid w:val="00C765D2"/>
    <w:rsid w:val="00C95C50"/>
    <w:rsid w:val="00CC35BC"/>
    <w:rsid w:val="00D02AAC"/>
    <w:rsid w:val="00D74B7A"/>
    <w:rsid w:val="00DC60E9"/>
    <w:rsid w:val="00E21777"/>
    <w:rsid w:val="00EB268A"/>
    <w:rsid w:val="00F5557F"/>
    <w:rsid w:val="00F9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3">
    <w:name w:val="Heading 3"/>
    <w:basedOn w:val="Normal"/>
    <w:link w:val="Заголовок3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semiHidden w:val="on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 w:themeColor="hyperlink"/>
      <w:u w:val="single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table" w:customStyle="1" w:styleId="Сеткатаблицы1">
    <w:name w:val="Сетка таблицы1"/>
    <w:basedOn w:val="NormalTable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4" Type="http://schemas.openxmlformats.org/officeDocument/2006/relationships/image" Target="media/image2.jpeg"/><Relationship Id="rId15" Type="http://schemas.openxmlformats.org/officeDocument/2006/relationships/footer" Target="footer1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9" Type="http://schemas.openxmlformats.org/officeDocument/2006/relationships/fontTable" Target="fontTable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Альмира</cp:lastModifiedBy>
</cp:coreProperties>
</file>