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ИКТ компетентность учителя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начальных классов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Федеральных государственных общеобразовательных стандартах нового поколения указаны требования к активному использованию средств ИКТ для решения коммуникативных и познавательных задач, а также проведения экспериментов, в том числе с использованием учебного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лабораторного оборудования</w:t>
        </w:r>
      </w:hyperlink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Высокие запросы образования невозможно удовлетворить, основываясь только на традиционных педагогических технологиях. Необходимы новые подходы к организации обучения, опирающиеся на перспективные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информационно-компьютерные технологии</w:t>
        </w:r>
      </w:hyperlink>
      <w:r w:rsidDel="00000000" w:rsidR="00000000" w:rsidRPr="00000000">
        <w:rPr>
          <w:rtl w:val="0"/>
        </w:rPr>
        <w:t xml:space="preserve"> (мультимедиа, интерактивные и др.)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Информационные технологии становятся неотъемлемой частью жизни современного человека. Владение ими ставится в один ряд с такими качествами, как умение читать и писать. А усиление роли ИКТ в образовании делает необходимым формирование информационно-коммуникационной компетентности всех участников образовательного процесса: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обучающихся; педагогических работников; родителей (законных представителей) обучающихся.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Почему же сегодня так остро стоит вопрос ИКТ-компетентности всех участников образовательного процесса и в частности учителя?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Введение нового образовательного стандарта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начального общего образования</w:t>
        </w:r>
      </w:hyperlink>
      <w:r w:rsidDel="00000000" w:rsidR="00000000" w:rsidRPr="00000000">
        <w:rPr>
          <w:rtl w:val="0"/>
        </w:rPr>
        <w:t xml:space="preserve"> предполагает создание единой информационно-образовательной среды (ЕИОС) в каждой школе. Одной из составляющих данной среды является компетентность участников образовательного процесса в решении учебно-познавательных и профессиональных задач с применением ИКТ. Использование этих технологий в современной ИОС является наиболее эффективным для формирования универсальных учебных действий, которые рассматриваются в ФГОС как один из основных результатов освоения ООП НОО. Учитель должен не только знакомить обучающихся с ИК-технологиями (ИКТ-компетенция), но и учить грамотно применять эти технологии в свой деятельности, способствуя тем самым формированию у них ИКТ-компетентности. При этом необходимо помнить, что ИКТ-компетентность не должна сводиться к «компьютерной грамотности», это явление более высокого порядка.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Одна из первых наших задач,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Информатизация школы является в данное время одним из приоритетных направлений.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С введением новых образовательных стандартов одной из ключевых компетентностей учителей начальных классов является </w:t>
      </w:r>
      <w:r w:rsidDel="00000000" w:rsidR="00000000" w:rsidRPr="00000000">
        <w:rPr>
          <w:b w:val="1"/>
          <w:i w:val="1"/>
          <w:rtl w:val="0"/>
        </w:rPr>
        <w:t xml:space="preserve">информационно-коммуникационная компетентность (ИКТ).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Начальная школа – это первые шаги ребенка по дорогам наук и открытий. Здесь закладывается фундамент знаний, на котором ученик будет строить свое дальнейшее образование.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Чтобы ответить на вопросы: чему учить, как учить, зачем учить, следует вспомнить, что в результате обучения выпускнику современной школы нужны не сумма знаний и умений, а способности к получению знаний и умений, не исполнительность, а инициатива и самостоятельность.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считаю, что главные приоритеты новых стандартов образования должны базироваться на развитии </w:t>
      </w:r>
      <w:r w:rsidDel="00000000" w:rsidR="00000000" w:rsidRPr="00000000">
        <w:rPr>
          <w:i w:val="1"/>
          <w:u w:val="single"/>
          <w:rtl w:val="0"/>
        </w:rPr>
        <w:t xml:space="preserve">ИКТ грамотности</w:t>
      </w:r>
      <w:r w:rsidDel="00000000" w:rsidR="00000000" w:rsidRPr="00000000">
        <w:rPr>
          <w:rtl w:val="0"/>
        </w:rPr>
        <w:t xml:space="preserve"> и формировании </w:t>
      </w:r>
      <w:r w:rsidDel="00000000" w:rsidR="00000000" w:rsidRPr="00000000">
        <w:rPr>
          <w:i w:val="1"/>
          <w:u w:val="single"/>
          <w:rtl w:val="0"/>
        </w:rPr>
        <w:t xml:space="preserve">ИКТ компетентности</w:t>
      </w:r>
      <w:r w:rsidDel="00000000" w:rsidR="00000000" w:rsidRPr="00000000">
        <w:rPr>
          <w:rtl w:val="0"/>
        </w:rPr>
        <w:t xml:space="preserve"> на всех ступенях обучения. Под ИКТ грамотностью подразумевается использование цифровых технологий, инструментов коммуникации и/или сетей для получения доступа к информации, управления информацией, ее интеграции, оценки и создания для функционирования в современном обществе.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Что же обозначает понятие: ИКТ-компетентность?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Это приобретение 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коллектива</w:t>
        </w:r>
      </w:hyperlink>
      <w:r w:rsidDel="00000000" w:rsidR="00000000" w:rsidRPr="00000000">
        <w:rPr>
          <w:rtl w:val="0"/>
        </w:rPr>
        <w:t xml:space="preserve">, квалифицированно используя доступные современные средства информационных и коммуникационных технологий.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того чтобы урок был интересен детям, чтобы активизировалась их мыслительная деятельность, появилась потребность к творческому созиданию, учителю необходимо уделять большое внимание отбору методов, приемов, средств обучения, их разнообразию и целесообразности их применения.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Современные ИКТ компетентности учителя начальных классов позволяют: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Представлять обучаемому информацию в различной форме: текст, аудио, видео, анимация;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Контролировать временные параметры урока для каждого обучаемого;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Выдавать большой объем информации по частям, поэтому изучаемый материал усваивается легче, чем материал учебников и статей;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Активизировать процессы восприятия, мышления, воображения, памяти;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Мобилизовать внимание обучаемого;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Быть точным и объективным в оценке знаний;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Печатать, воспроизводить и комментировать информацию;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Выходить в мировое информационное сообщество;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Формировать мотивацию к учению и познавательный интерес.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 Проводить уроки на высоком эстетическом и эмоциональном уровне;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11. Обучающиеся младших классов получают первичные навыки работы с компьютерами, что является первым шагом к знакомству с информационным полем Интернета, медиаресурсов;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 Применение ИКТ на уроках активизирует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познавательную деятельность</w:t>
        </w:r>
      </w:hyperlink>
      <w:r w:rsidDel="00000000" w:rsidR="00000000" w:rsidRPr="00000000">
        <w:rPr>
          <w:rtl w:val="0"/>
        </w:rPr>
        <w:t xml:space="preserve"> обучающихся, усиливает положительную мотивацию обучения.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Уровень современного учителя не должен отставать от уровня современного ученика. Федеральный государственный образовательный стандарт, сопровождающие его документы, обязывают нас пересмотреть свое отношение к использованию средств ИКТ и потратить достаточное время и силы на формирование собственной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</w:t>
      </w:r>
      <w:r w:rsidDel="00000000" w:rsidR="00000000" w:rsidRPr="00000000">
        <w:rPr>
          <w:b w:val="1"/>
          <w:rtl w:val="0"/>
        </w:rPr>
        <w:t xml:space="preserve"> ИКТ-компетентностью </w:t>
      </w:r>
      <w:r w:rsidDel="00000000" w:rsidR="00000000" w:rsidRPr="00000000">
        <w:rPr>
          <w:rtl w:val="0"/>
        </w:rPr>
        <w:t xml:space="preserve">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педагогической деятельности. Это способность педагога решать учебные, бытовые и профессиональные задачи с использованием информационных и коммуникационных технологий.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Говоря о требованиях к ИКТ-компетентности учителя, можно выделить несколько групп требований: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технологическая, или общепользовательская компетентность; педагогическая компетентность; профессиональная (предметная) компетентность.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Технологическая (общепользовательская) ИКТ-компетентность</w:t>
      </w:r>
      <w:r w:rsidDel="00000000" w:rsidR="00000000" w:rsidRPr="00000000">
        <w:rPr>
          <w:rtl w:val="0"/>
        </w:rPr>
        <w:t xml:space="preserve"> означает, что учитель является грамотным пользователем современного компьютера, подключенного к локальной сети и Интернету: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умеет пользоваться набором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программного обеспечения</w:t>
        </w:r>
      </w:hyperlink>
      <w:r w:rsidDel="00000000" w:rsidR="00000000" w:rsidRPr="00000000">
        <w:rPr>
          <w:rtl w:val="0"/>
        </w:rPr>
        <w:t xml:space="preserve">; умеет работать в локальной сети и пользоваться базовыми сервисами Интернета.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Второй составляющей ИКТ-компетентности учителя можно считать </w:t>
      </w:r>
      <w:r w:rsidDel="00000000" w:rsidR="00000000" w:rsidRPr="00000000">
        <w:rPr>
          <w:b w:val="1"/>
          <w:rtl w:val="0"/>
        </w:rPr>
        <w:t xml:space="preserve">педагогическую ИКТ-компетентность</w:t>
      </w:r>
      <w:r w:rsidDel="00000000" w:rsidR="00000000" w:rsidRPr="00000000">
        <w:rPr>
          <w:rtl w:val="0"/>
        </w:rPr>
        <w:t xml:space="preserve">. Наличие названной компетентности означает, что учитель способен осуществлять образовательный процесс в соответствии с целями, которые ставятся информационным обществом перед системой общего образования, и продуктивно использовать ИКТ в этом процессе. Она связана с глубокой перестройкой методики обучения и содержания образования: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применение информационных технологий для разных форм образовательной деятельности: индивидуальной, групповой, коллективной; планирование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проектной деятельности</w:t>
        </w:r>
      </w:hyperlink>
      <w:r w:rsidDel="00000000" w:rsidR="00000000" w:rsidRPr="00000000">
        <w:rPr>
          <w:rtl w:val="0"/>
        </w:rPr>
        <w:t xml:space="preserve"> с учетом возможностей ИКТ; использование доступных ресурсов Интернета; использование интерактивных моделей, виртуальных лабораторий; использование дистанционных ресурсов при подготовке домашних заданий; подготовка заданий и тестов в электронном виде.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Еще одна важная задача, стоящая перед учителем, – привлечь учащихся к активному участию в образовательном процессе (в ИС), используя для этого современные средства коммуникаций: электронную почту, форум, Skype и т. п.</w:t>
      </w:r>
    </w:p>
    <w:tbl>
      <w:tblPr>
        <w:tblStyle w:val="Table1"/>
        <w:tblW w:w="60.0" w:type="dxa"/>
        <w:jc w:val="left"/>
        <w:tblInd w:w="20.0" w:type="pct"/>
        <w:tblLayout w:type="fixed"/>
        <w:tblLook w:val="0600"/>
      </w:tblPr>
      <w:tblGrid>
        <w:gridCol w:w="30"/>
        <w:gridCol w:w="30"/>
        <w:tblGridChange w:id="0">
          <w:tblGrid>
            <w:gridCol w:w="30"/>
            <w:gridCol w:w="30"/>
          </w:tblGrid>
        </w:tblGridChange>
      </w:tblGrid>
      <w:tr>
        <w:trPr>
          <w:trHeight w:val="30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Третья составляющая – </w:t>
      </w:r>
      <w:r w:rsidDel="00000000" w:rsidR="00000000" w:rsidRPr="00000000">
        <w:rPr>
          <w:b w:val="1"/>
          <w:rtl w:val="0"/>
        </w:rPr>
        <w:t xml:space="preserve">профессиональная ИКТ-компетентность</w:t>
      </w:r>
      <w:r w:rsidDel="00000000" w:rsidR="00000000" w:rsidRPr="00000000">
        <w:rPr>
          <w:rtl w:val="0"/>
        </w:rPr>
        <w:t xml:space="preserve"> учителя. Учителю необходимо владеть расширенными приемами самостоятельной подготовки дидактических материалов и рабочих документов, что позволит запланировать и организовать комплексное использование средств ИКТ в образовательном процессе.</w:t>
      </w:r>
    </w:p>
    <w:tbl>
      <w:tblPr>
        <w:tblStyle w:val="Table2"/>
        <w:tblW w:w="60.0" w:type="dxa"/>
        <w:jc w:val="left"/>
        <w:tblInd w:w="20.0" w:type="pct"/>
        <w:tblLayout w:type="fixed"/>
        <w:tblLook w:val="0600"/>
      </w:tblPr>
      <w:tblGrid>
        <w:gridCol w:w="30"/>
        <w:gridCol w:w="30"/>
        <w:tblGridChange w:id="0">
          <w:tblGrid>
            <w:gridCol w:w="30"/>
            <w:gridCol w:w="30"/>
          </w:tblGrid>
        </w:tblGridChange>
      </w:tblGrid>
      <w:tr>
        <w:trPr>
          <w:trHeight w:val="300" w:hRule="atLeast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Отвечая всем этим требованиям, учитель сможет решать профессиональные задачи на уровне представителя современного информационного общества, в том числе организовывать образовательную деятельность по формированию ИКТ-компетентности учащихся.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Кроме того, чтобы педагог стал компетентным в области ИКТ ему необходимо: пересмотр традиционных установок обучения, поиск и выбор педагогических технологий, адекватных ИКТ, формирование нового типа мышления.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Очень важно уже в начальной школе заложить мысль, что компьютер — это вовсе не игровой автомат и попутчик в путешествии по виртуальным мирам, а инструмент решения задач. Первоначальное знакомство младших школьников с компьютером как правило, осуществляется в процессе использования учебных игровых программ, обучающих и тренажёрных программ. В процессе работы с такими программными средствами учащиеся не только отрабатывают основные пользовательские навыки и навыки самостоятельной работы, но и повышают качество знаний по важнейшим школьным дисциплинам.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Главная цель состоит в грамотном использовании дидактических возможностей применения и представления различных видов информации (текста, звука, видео, анимации, графики) в ходе учебного процесса, а также создание условий для активной работы обучающихся, получения ими знаний и навыков.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настоящее время использование ИКТ оказывает заметное влияние на содержание, формы и методы обучения. Школьники активно используют персональный компьютер, сервисы, Интернет. Они воспитаны на аудио и видео продуктах, компьютерных играх и других элементах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информационной культуры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Педагогические возможности компьютера и интерактивной доски по ряду показателей превосходят возможности традиционных средств реализации учебного процесса. В частности, интерактивная доска и система оперативного контроля совмещают в себе возможности разнообразных средств наглядности, тренажерных устройств, технических средств контроля и оценки результатов учебной деятельности и вытесняют устаревшие средства обучения (плакаты, макеты, диапроекторы, магнитофоны).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Использование интерактивных и мультимедийных технологий при подготовке и проведении уроков дает возможность решать задачу формирования информационной компетентности, поставленную ФГОС нового поколения.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Что включает в себя сам комплект?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 Автоматизированное рабочее место педагога: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Ноутбук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Многофункциональное устройство (принтер, сканер, копирование)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Документ-камера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Интерактивная доска с проектором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-Фотоаппарат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Автоматизированное рабочее место ученика: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Ноутбук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Микроскоп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Модульная система экспериментов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Интерактивная система контроля знаний (пульты)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Конструкторы ЛЕГО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Выход в интернет осуществляется посредством Wi-Fi роутера, с использованием контент-фильтра.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чем же эффект?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Работа с документ – камерой.</w:t>
      </w:r>
      <w:r w:rsidDel="00000000" w:rsidR="00000000" w:rsidRPr="00000000">
        <w:rPr>
          <w:rtl w:val="0"/>
        </w:rPr>
        <w:t xml:space="preserve"> Работая с документ-камерой, учитель выполняет один из главных принципов в обучении – принцип наглядности, так как она позволяет увеличивать изображения, данные в учебнике, сохранять их, добавлять к избранному новую информацию. Надежным помощником документ-камера является и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классному руководителю</w:t>
        </w:r>
      </w:hyperlink>
      <w:r w:rsidDel="00000000" w:rsidR="00000000" w:rsidRPr="00000000">
        <w:rPr>
          <w:rtl w:val="0"/>
        </w:rPr>
        <w:t xml:space="preserve">, так как с ее помощью можно создавать альбомы классных дел, театральные афиши, газеты и т. д.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Работа с микроскопом.</w:t>
      </w:r>
      <w:r w:rsidDel="00000000" w:rsidR="00000000" w:rsidRPr="00000000">
        <w:rPr>
          <w:rtl w:val="0"/>
        </w:rPr>
        <w:t xml:space="preserve"> Работа с микроскопом, пожалуй, один из самых интересных видов работы для обучающихся – ведь микроскоп позволяет заниматься исследованием на самом элементарном уровне, не выходя из класса. Ученик может рассматривать не только увеличенный объект, но и сохранить его, использовать в дальнейшей работе.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Цифровая лаборатория, </w:t>
      </w:r>
      <w:r w:rsidDel="00000000" w:rsidR="00000000" w:rsidRPr="00000000">
        <w:rPr>
          <w:rtl w:val="0"/>
        </w:rPr>
        <w:t xml:space="preserve">которая позволяет обучающимся заниматься измерением давления,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влажности</w:t>
        </w:r>
      </w:hyperlink>
      <w:r w:rsidDel="00000000" w:rsidR="00000000" w:rsidRPr="00000000">
        <w:rPr>
          <w:rtl w:val="0"/>
        </w:rPr>
        <w:t xml:space="preserve">, температуры и даже звука, а потом на основании полученных данных строить графики, сохранять их, использовать при изучении новых тем, проводить сравнительный анализ.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И, наконец, самая, на мой взгляд, необходимая программа для учителя, это </w:t>
      </w:r>
      <w:r w:rsidDel="00000000" w:rsidR="00000000" w:rsidRPr="00000000">
        <w:rPr>
          <w:b w:val="1"/>
          <w:rtl w:val="0"/>
        </w:rPr>
        <w:t xml:space="preserve">система тестирования качества знаний обучающихся «– пультов.</w:t>
      </w:r>
      <w:r w:rsidDel="00000000" w:rsidR="00000000" w:rsidRPr="00000000">
        <w:rPr>
          <w:rtl w:val="0"/>
        </w:rPr>
        <w:t xml:space="preserve"> Данная система, позволяет контролировать каждого ученика, охватить опросом весь класс, выставлять за ответ баллы каждому, которые ученик получил в течение всего урока. Кроме того, данная программа позволяет производить тестирование по всем предметам, отслеживать посещаемость и успеваемость обучающихся. Продуманность данной системы позволяет высвободить и экономить значительное время учителя, анализировать работу обучающихся на протяжении нескольких уроков.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В чем же основные преимущества ИД перед меловой?</w:t>
      </w:r>
      <w:r w:rsidDel="00000000" w:rsidR="00000000" w:rsidRPr="00000000">
        <w:rPr>
          <w:rtl w:val="0"/>
        </w:rPr>
        <w:t xml:space="preserve"> Почему ИД становятся более популярными?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ИД помогает расширить использование электронных средств обучения, потому что они быстрее передают информацию;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ИД позволяют увеличить восприятие материала за счет увеличения иллюстрированного материала на уроке. ИД дополняет и иллюстрирует слова учителя.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ИД позволяет ученикам принимать участие в групповой работе;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ИД позволяет проводить проверку знаний учащихся сразу во всем учебном классе, организовать грамотную обратную связь «учитель-ученик»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ИД позволяют создать единую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базу данных</w:t>
        </w:r>
      </w:hyperlink>
      <w:r w:rsidDel="00000000" w:rsidR="00000000" w:rsidRPr="00000000">
        <w:rPr>
          <w:rtl w:val="0"/>
        </w:rPr>
        <w:t xml:space="preserve"> методических и демонстрационных материалов для обучения, у учителя появляется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свободное время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Наконец, на мой взгляд, </w:t>
      </w:r>
      <w:r w:rsidDel="00000000" w:rsidR="00000000" w:rsidRPr="00000000">
        <w:rPr>
          <w:b w:val="1"/>
          <w:i w:val="1"/>
          <w:rtl w:val="0"/>
        </w:rPr>
        <w:t xml:space="preserve">самое главное – использование</w:t>
      </w:r>
      <w:r w:rsidDel="00000000" w:rsidR="00000000" w:rsidRPr="00000000">
        <w:rPr>
          <w:rtl w:val="0"/>
        </w:rPr>
        <w:t xml:space="preserve"> ИД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поднимает</w:t>
      </w:r>
      <w:hyperlink r:id="rId32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3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авторитет</w:t>
        </w:r>
      </w:hyperlink>
      <w:r w:rsidDel="00000000" w:rsidR="00000000" w:rsidRPr="00000000">
        <w:rPr>
          <w:b w:val="1"/>
          <w:rtl w:val="0"/>
        </w:rPr>
        <w:t xml:space="preserve"> учителя в глазах учащихся, позволяет общаться на одном языке.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Работа с доской в начальной школе становится продолжением игры, сопровождаемой звуковыми и видеоэффектами. Ведь использование различных магнитных ручек, лазерных указок, «волшебных палочек» развивает не только логику, творческое мышление, моторику и координацию ребенка, но и позволяет ему вернуться назад, посмотреть, где были допущены ошибки.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Но я не скажу, что ИД творит чудеса, к урокам нужно готовиться более тщательно, надо готовить презентации, искать готовые материалы, ведь ИД – это просто удобный помощник для любого учителя, как и весь комплект учебно-лабораторного оборудования.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Сегодня совершенно ясно, что изменения в содержании, методах и формах учебной работы – не прихоть отдельных педагогов, дань моде, а ответ школы на</w:t>
      </w:r>
      <w:hyperlink r:id="rId34">
        <w:r w:rsidDel="00000000" w:rsidR="00000000" w:rsidRPr="00000000">
          <w:rPr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глобализацию</w:t>
        </w:r>
      </w:hyperlink>
      <w:r w:rsidDel="00000000" w:rsidR="00000000" w:rsidRPr="00000000">
        <w:rPr>
          <w:rtl w:val="0"/>
        </w:rPr>
        <w:t xml:space="preserve"> экономики, повышение требований к личности, вызванные становлением информационного общества. Потребность в этих изменениях очевидна и бесспорна.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Агитировать и требовать от учителей активно использовать учебно-лабораторное оборудование не пришлось, скорее наоборот, отслеживаем, чтобы время работы на УЛО не превышало установленного СанПиНом.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 те 2,5 месяца, которые мы используем УЛО в своей работе не достигнут весь потенциал возможностей, но это дело времени. Планы далеко идущие и широко шагающие.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Интерактивная доска – мечта учителя, реальность.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Сегодня – это актуальность.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Урок – картинка, не тоска…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заключение замечу, ни учителя, ни книгу никто не отменял, просто роль учителя, равно как и технологии представления текстов, существенно изменяется. Из носителя готовых знаний он превращается в организатора познавательной деятельности своих учеников: из авторитетного источника информации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обучающихся.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andia.ru/text/category/proektnaya_deyatelmznostmz/" TargetMode="External"/><Relationship Id="rId22" Type="http://schemas.openxmlformats.org/officeDocument/2006/relationships/hyperlink" Target="https://pandia.ru/text/category/informatcionnaya_kulmztura/" TargetMode="External"/><Relationship Id="rId21" Type="http://schemas.openxmlformats.org/officeDocument/2006/relationships/hyperlink" Target="https://pandia.ru/text/category/proektnaya_deyatelmznostmz/" TargetMode="External"/><Relationship Id="rId24" Type="http://schemas.openxmlformats.org/officeDocument/2006/relationships/hyperlink" Target="https://pandia.ru/text/category/klassnie_rukovoditeli/" TargetMode="External"/><Relationship Id="rId23" Type="http://schemas.openxmlformats.org/officeDocument/2006/relationships/hyperlink" Target="https://pandia.ru/text/category/informatcionnaya_kulmztur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ndia.ru/text/category/laboratornoe_oborudovanie/" TargetMode="External"/><Relationship Id="rId26" Type="http://schemas.openxmlformats.org/officeDocument/2006/relationships/hyperlink" Target="https://pandia.ru/text/category/vlazhnostmz/" TargetMode="External"/><Relationship Id="rId25" Type="http://schemas.openxmlformats.org/officeDocument/2006/relationships/hyperlink" Target="https://pandia.ru/text/category/klassnie_rukovoditeli/" TargetMode="External"/><Relationship Id="rId28" Type="http://schemas.openxmlformats.org/officeDocument/2006/relationships/hyperlink" Target="https://pandia.ru/text/category/bazi_dannih/" TargetMode="External"/><Relationship Id="rId27" Type="http://schemas.openxmlformats.org/officeDocument/2006/relationships/hyperlink" Target="https://pandia.ru/text/category/vlazhnostmz/" TargetMode="External"/><Relationship Id="rId5" Type="http://schemas.openxmlformats.org/officeDocument/2006/relationships/styles" Target="styles.xml"/><Relationship Id="rId6" Type="http://schemas.openxmlformats.org/officeDocument/2006/relationships/hyperlink" Target="https://pandia.ru/text/category/nachalmznie_klassi/" TargetMode="External"/><Relationship Id="rId29" Type="http://schemas.openxmlformats.org/officeDocument/2006/relationships/hyperlink" Target="https://pandia.ru/text/category/bazi_dannih/" TargetMode="External"/><Relationship Id="rId7" Type="http://schemas.openxmlformats.org/officeDocument/2006/relationships/hyperlink" Target="https://pandia.ru/text/category/nachalmznie_klassi/" TargetMode="External"/><Relationship Id="rId8" Type="http://schemas.openxmlformats.org/officeDocument/2006/relationships/hyperlink" Target="https://pandia.ru/text/category/laboratornoe_oborudovanie/" TargetMode="External"/><Relationship Id="rId31" Type="http://schemas.openxmlformats.org/officeDocument/2006/relationships/hyperlink" Target="https://pandia.ru/text/category/vremya_svobodnoe/" TargetMode="External"/><Relationship Id="rId30" Type="http://schemas.openxmlformats.org/officeDocument/2006/relationships/hyperlink" Target="https://pandia.ru/text/category/vremya_svobodnoe/" TargetMode="External"/><Relationship Id="rId11" Type="http://schemas.openxmlformats.org/officeDocument/2006/relationships/hyperlink" Target="https://pandia.ru/text/category/informatcionnie_tehnologii/" TargetMode="External"/><Relationship Id="rId33" Type="http://schemas.openxmlformats.org/officeDocument/2006/relationships/hyperlink" Target="https://pandia.ru/text/category/avtoritet/" TargetMode="External"/><Relationship Id="rId10" Type="http://schemas.openxmlformats.org/officeDocument/2006/relationships/hyperlink" Target="https://pandia.ru/text/category/informatcionnie_tehnologii/" TargetMode="External"/><Relationship Id="rId32" Type="http://schemas.openxmlformats.org/officeDocument/2006/relationships/hyperlink" Target="https://pandia.ru/text/category/avtoritet/" TargetMode="External"/><Relationship Id="rId13" Type="http://schemas.openxmlformats.org/officeDocument/2006/relationships/hyperlink" Target="https://pandia.ru/text/category/nachalmznoe_obshee_obrazovanie/" TargetMode="External"/><Relationship Id="rId35" Type="http://schemas.openxmlformats.org/officeDocument/2006/relationships/hyperlink" Target="https://pandia.ru/text/category/globalizatciya/" TargetMode="External"/><Relationship Id="rId12" Type="http://schemas.openxmlformats.org/officeDocument/2006/relationships/hyperlink" Target="https://pandia.ru/text/category/nachalmznoe_obshee_obrazovanie/" TargetMode="External"/><Relationship Id="rId34" Type="http://schemas.openxmlformats.org/officeDocument/2006/relationships/hyperlink" Target="https://pandia.ru/text/category/globalizatciya/" TargetMode="External"/><Relationship Id="rId15" Type="http://schemas.openxmlformats.org/officeDocument/2006/relationships/hyperlink" Target="https://pandia.ru/text/category/koll/" TargetMode="External"/><Relationship Id="rId14" Type="http://schemas.openxmlformats.org/officeDocument/2006/relationships/hyperlink" Target="https://pandia.ru/text/category/koll/" TargetMode="External"/><Relationship Id="rId17" Type="http://schemas.openxmlformats.org/officeDocument/2006/relationships/hyperlink" Target="https://pandia.ru/text/category/obrazovatelmznaya_deyatelmznostmz/" TargetMode="External"/><Relationship Id="rId16" Type="http://schemas.openxmlformats.org/officeDocument/2006/relationships/hyperlink" Target="https://pandia.ru/text/category/obrazovatelmznaya_deyatelmznostmz/" TargetMode="External"/><Relationship Id="rId19" Type="http://schemas.openxmlformats.org/officeDocument/2006/relationships/hyperlink" Target="https://pandia.ru/text/category/programmnoe_obespechenie/" TargetMode="External"/><Relationship Id="rId18" Type="http://schemas.openxmlformats.org/officeDocument/2006/relationships/hyperlink" Target="https://pandia.ru/text/category/programmnoe_obesp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