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Цели: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Задачи: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— исследование качественных изменений и новых тенденций в области современного коммуникационного дизайна;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— освоение практических знаний, умений и навыков создания проектов коммуникационного дизайна, имеющих мультисенсорную природу, обеспечивающих интерактивное взаимодействие с пользователем, формирующих гибкую, подвижную среду современного коммуникационного пространства;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— раскрытие понятий «коммуникационный дизайн», «визуальные коммуникации»; определение коммуникаций как ведущих в мультисенсорной среде современного социального пространства;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— изучение современных методов восприятия, потребления и переработки визуальной информации; изучение перцептивных возможностей человека; психологического и физиологического аспектов зрительского восприятия;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— анализ существующих проектных решений в коммуникационном дизайне, рассмотрение функциональных и эстетических особенностей современных медиа-объектов; создание типологии художественно-образных решений, созданных на основе цифровых технологий;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— изучение типологии мультимедийного оборудования; определение экрана как типа информационного пространства; исследование возможностей использования инновационных цифровых технологий в коммуникационном дизайне;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— проектирование и разработка комплексных дизайн-проектов, с использованием различных медиа компонентов (звука, графики, анимации, видео, текста), соответствующих современным требованиям коммуникационного дизайна;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— изучение приемов работы с программным обеспечением для работы в авторинге, для дизайна и редактирования медиа-данных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— изучение основных форматов предоставления графического, видео- и мультимедиа-материала на различных носителях, в различных коммуникационных пространствах;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— рассмотрение социокультурной природы коммуникационного дизайна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