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Техническое обслуживание насоса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 заключается в периодической смене масла в резервуаре, проверке состояния всех резьбовых соединений и своевременной их затяжке. Промывать резервуар насоса и масляный фильтр не реже одного раза за 250 ч работы. Для этого необходимо снять крышку заливной горловины, извлечь фильтр, отвернуть сливную пробку, слить масло, промыть резервуар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насооа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чистым маслом, промыть фильтр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уайт-спиритом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и продуть сжатым воздухом, установить фильтр на место, завернуть сливную пробку залить резервуар чистым маслом до полного заполнения масломерного стекла. Через каждые 1500 ч работы насоса необходимо очищать его от накопившейся грязи.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4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[1]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Техническое обслуживание насосов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 должно обеспечить работоспособность ГЦН между ремонтами я осуществляться эксплуатационным и обслуживающим персоналом.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5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[2]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Техническое обслуживание насосов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 осуществляется эксплуатационно-ремонтным и вахтенным персоналом службы главного механика. ТО включает в себя следующие виды работ: проверку фланцевых и резьбовых соединений; затяжку фундаментных болтов; проверку уровня масла в маслобаках, герметичности маслопроводов и вспомогательных трубопроводов; герметичности торцовых уплотнений ротора насоса; затяжку болтовых соединений зубчатой или пластинчатой упругой муфт; проверки герметичности уплотнения в разделительной стенке, между отделениями насосов и электродвигателей.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6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[3]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Техническое обслуживание насосов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 должно обеспечить работоспособность оборудования между ремонтами и осуществляется эксплуатационным и обслуживающим персоналом.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7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[4]</w:t>
        </w:r>
      </w:hyperlink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  <w:gridCol w:w="94"/>
        <w:gridCol w:w="6081"/>
      </w:tblGrid>
      <w:tr w:rsidR="0042394E" w:rsidRPr="0042394E" w:rsidTr="004239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94E" w:rsidRPr="0042394E" w:rsidRDefault="0042394E" w:rsidP="0042394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Fonts w:ascii="Helvetica" w:eastAsia="Times New Roman" w:hAnsi="Helvetica" w:cs="Helvetica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619250" cy="2381250"/>
                    <wp:effectExtent l="19050" t="0" r="0" b="0"/>
                    <wp:wrapSquare wrapText="bothSides"/>
                    <wp:docPr id="2" name="Рисунок 2" descr="5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5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2381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94E" w:rsidRPr="0042394E" w:rsidRDefault="0042394E" w:rsidP="0042394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94E" w:rsidRPr="0042394E" w:rsidRDefault="0042394E" w:rsidP="0042394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10" w:tgtFrame="_blank" w:history="1">
              <w:r w:rsidRPr="0042394E">
                <w:rPr>
                  <w:rFonts w:ascii="Helvetica" w:eastAsia="Times New Roman" w:hAnsi="Helvetica" w:cs="Helvetica"/>
                  <w:color w:val="006400"/>
                  <w:sz w:val="24"/>
                  <w:szCs w:val="24"/>
                  <w:lang w:eastAsia="ru-RU"/>
                </w:rPr>
                <w:t xml:space="preserve">Принцип действия фильтра типа </w:t>
              </w:r>
              <w:proofErr w:type="spellStart"/>
              <w:r w:rsidRPr="0042394E">
                <w:rPr>
                  <w:rFonts w:ascii="Helvetica" w:eastAsia="Times New Roman" w:hAnsi="Helvetica" w:cs="Helvetica"/>
                  <w:color w:val="006400"/>
                  <w:sz w:val="24"/>
                  <w:szCs w:val="24"/>
                  <w:lang w:eastAsia="ru-RU"/>
                </w:rPr>
                <w:t>Телл</w:t>
              </w:r>
              <w:proofErr w:type="spellEnd"/>
              <w:r w:rsidRPr="0042394E">
                <w:rPr>
                  <w:rFonts w:ascii="Helvetica" w:eastAsia="Times New Roman" w:hAnsi="Helvetica" w:cs="Helvetica"/>
                  <w:color w:val="006400"/>
                  <w:sz w:val="24"/>
                  <w:szCs w:val="24"/>
                  <w:lang w:eastAsia="ru-RU"/>
                </w:rPr>
                <w:t>. </w:t>
              </w:r>
            </w:hyperlink>
            <w:r w:rsidRPr="0042394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 </w:t>
            </w:r>
            <w:hyperlink r:id="rId11" w:tgtFrame="_blank" w:history="1">
              <w:r w:rsidRPr="0042394E">
                <w:rPr>
                  <w:rFonts w:ascii="inherit" w:eastAsia="Times New Roman" w:hAnsi="inherit" w:cs="Helvetica"/>
                  <w:b/>
                  <w:bCs/>
                  <w:color w:val="006400"/>
                  <w:sz w:val="24"/>
                  <w:szCs w:val="24"/>
                  <w:lang w:eastAsia="ru-RU"/>
                </w:rPr>
                <w:t>[5]</w:t>
              </w:r>
            </w:hyperlink>
          </w:p>
        </w:tc>
      </w:tr>
    </w:tbl>
    <w:p w:rsidR="0042394E" w:rsidRPr="0042394E" w:rsidRDefault="0042394E" w:rsidP="0042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При</w:t>
      </w: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 техническом обслуживании насоса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, расположенного ниже резервуара, для предотвращения вытекания масла через корпус фильтра вместо фильтрующего элемента вставляют его макет </w:t>
      </w:r>
      <w:proofErr w:type="gram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( </w:t>
      </w:r>
      <w:proofErr w:type="gram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слепой фильтр), играющий роль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перекрывного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клапана.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12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[6]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Полный комплект приспособлений и инструмента обеспечивает</w:t>
      </w: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 быстрое и безопасное техническое обслуживание насоса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13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[7]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К основным недостаткам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погружных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насосов при работе в скважинах</w:t>
      </w:r>
      <w:proofErr w:type="gram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В</w:t>
      </w:r>
      <w:proofErr w:type="gram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можно отнести быстрый выход из строя некоторых узлов насоса вследствие абразивного износа механическими примесями и выход 1Й строя электродвигателей при работе в условиях повышенных температур. Кроме того, для монтажа и</w:t>
      </w: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 технического обслуживания насосов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 в процессе эксплуатации и их ремонта требуется квалифицированный обслуживающий персонал.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14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[8]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Применяемая на предприятиях система технического обслуживания и ремонта оборудования </w:t>
      </w:r>
      <w:proofErr w:type="gram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( </w:t>
      </w:r>
      <w:proofErr w:type="gram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машины, аппараты, трубопроводы, электротехническое и теплотехническое оборудование) при правильной ее организации, высокой квалификации обслуживающего и ремонтного персонала должна обеспечить поддержание оборудования в работоспособном состоянии и предотвращение неожиданного выхода его из строя, аварий и возможного травматизма среди обслуживающего персонала и работников ремонтной службы предприятия. Основные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ши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ложения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безопасной работы оборудования </w:t>
      </w:r>
      <w:proofErr w:type="gram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( </w:t>
      </w:r>
      <w:proofErr w:type="gram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насосов, компрессоров) в химической и нефтехимической промышленности, изложенные в книге, позволят обслуживающему и ремонтному персоналу пополнить свои знания по безопасной работе и</w:t>
      </w: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 техническому обслуживанию насосов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 и компрессоров.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15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[9]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Экономичность и безопасность эксплуатации ядерных энергетических установок в штатных, переходных и аварийных режимах зависит от безотказной работы насосов, обеспечивающих циркуляцию теплоносителя в активной зоне, парогенераторах и вспомогательных </w:t>
      </w:r>
      <w:proofErr w:type="gram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контурах</w:t>
      </w:r>
      <w:proofErr w:type="gram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реактора. В наиболее жестких эксплуатационных условиях функционируют насосы первого контура - главные циркуляционные насосы </w:t>
      </w:r>
      <w:proofErr w:type="gram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( </w:t>
      </w:r>
      <w:proofErr w:type="gram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ГЦН), прокачивающие облученный теплоноситель, находящийся при высоком давлении и температуре. Из-за большого радиационного фона непосредственный доступ персонала для профилактического осмотра этих насосов затруднен. Поэтому к надежности и работоспособности ГЦН предъявляют повышенные требования, причем проблема заключается в организации</w:t>
      </w: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 оптимального технического обслуживания насосов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 не по регламенту и наработке, а по их фактическому состоянию. Наиболее уязвимыми узлами ГЦН в настоящее время являются уплотнения и подшипники скольжения. Опыт эксплуатац</w:t>
      </w:r>
      <w:proofErr w:type="gram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ии АЭ</w:t>
      </w:r>
      <w:proofErr w:type="gram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С в течение 250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реакторо-лет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и проведение 128 перегрузок показывают, что отказы ГЦН из-за неисправностей уплотнений относятся к числу основных причин ежегодных простоев АЭС с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водо-водяными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реакторами типа ВВР, а надежность ГЦН в значительной степени определяется работоспособностью подшипниковых опор.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16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[10]</w:t>
        </w:r>
      </w:hyperlink>
    </w:p>
    <w:p w:rsidR="0042394E" w:rsidRPr="0042394E" w:rsidRDefault="0042394E" w:rsidP="0042394E">
      <w:pPr>
        <w:shd w:val="clear" w:color="auto" w:fill="FFFFFF"/>
        <w:spacing w:after="0" w:line="19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Насосы серии </w:t>
      </w:r>
      <w:proofErr w:type="spellStart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IPn</w:t>
      </w:r>
      <w:proofErr w:type="spellEnd"/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сконструированы для монтажа на трубопроводе. Масса насоса и положение его центра тяжести позволяют произвести монтаж насоса любого размера непосредственно в трубопроводе, если трубопровод структурно пригоден для этого и в нем не создаются напряжения при различных условиях функционирования насоса. Допускается монтаж насоса в любом положении, кроме положения двигателем вниз. Для монтажа и</w:t>
      </w:r>
      <w:r w:rsidRPr="0042394E">
        <w:rPr>
          <w:rFonts w:ascii="inherit" w:eastAsia="Times New Roman" w:hAnsi="inherit" w:cs="Helvetica"/>
          <w:b/>
          <w:bCs/>
          <w:i/>
          <w:iCs/>
          <w:color w:val="000000"/>
          <w:sz w:val="15"/>
          <w:lang w:eastAsia="ru-RU"/>
        </w:rPr>
        <w:t> технического обслуживания насосов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 с номинальной мощностью двигателя свыше 4 кВт рекомендуется использование механических подъемных приспособлений. </w:t>
      </w: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 </w:t>
      </w:r>
      <w:hyperlink r:id="rId17" w:tgtFrame="_blank" w:history="1">
        <w:r w:rsidRPr="0042394E">
          <w:rPr>
            <w:rFonts w:ascii="inherit" w:eastAsia="Times New Roman" w:hAnsi="inherit" w:cs="Helvetica"/>
            <w:b/>
            <w:bCs/>
            <w:color w:val="006400"/>
            <w:sz w:val="15"/>
            <w:lang w:eastAsia="ru-RU"/>
          </w:rPr>
          <w:t>[11]</w:t>
        </w:r>
      </w:hyperlink>
    </w:p>
    <w:p w:rsidR="0042394E" w:rsidRPr="0042394E" w:rsidRDefault="0042394E" w:rsidP="004239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42394E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   </w:t>
      </w:r>
    </w:p>
    <w:p w:rsidR="00213814" w:rsidRDefault="00213814"/>
    <w:sectPr w:rsidR="00213814" w:rsidSect="0021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394E"/>
    <w:rsid w:val="00213814"/>
    <w:rsid w:val="0042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2394E"/>
    <w:rPr>
      <w:i/>
      <w:iCs/>
    </w:rPr>
  </w:style>
  <w:style w:type="character" w:styleId="a4">
    <w:name w:val="Hyperlink"/>
    <w:basedOn w:val="a0"/>
    <w:uiPriority w:val="99"/>
    <w:semiHidden/>
    <w:unhideWhenUsed/>
    <w:rsid w:val="00423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pedia.ru/searchdata/?squery=%D0%9F%D1%80%D0%B8%D0%BD%D1%86%D0%B8%D0%BF%20%D0%B4%D0%B5%D0%B9%D1%81%D1%82%D0%B2%D0%B8%D1%8F%20%D1%84%D0%B8%D0%BB%D1%8C%D1%82%D1%80%D0%B0%20%D1%82%D0%B8%D0%BF%D0%B0%20%D0%A2%D0%B5%D0%BB%D0%BB.&amp;search_area=0" TargetMode="External"/><Relationship Id="rId13" Type="http://schemas.openxmlformats.org/officeDocument/2006/relationships/hyperlink" Target="https://www.ngpedia.ru/pg2655528ONVQ3h0000720135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gpedia.ru/pg1392471EWgSr0c0004201355" TargetMode="External"/><Relationship Id="rId12" Type="http://schemas.openxmlformats.org/officeDocument/2006/relationships/hyperlink" Target="https://www.ngpedia.ru/pg3381416b7wHqh00006201355" TargetMode="External"/><Relationship Id="rId17" Type="http://schemas.openxmlformats.org/officeDocument/2006/relationships/hyperlink" Target="https://www.ngpedia.ru/pg3974065bu5GcdZ0011201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gpedia.ru/pg5481041DBuYm62001020135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gpedia.ru/pg5281271aC4UtxP0003201355" TargetMode="External"/><Relationship Id="rId11" Type="http://schemas.openxmlformats.org/officeDocument/2006/relationships/hyperlink" Target="https://www.ngpedia.ru/pg079lFqL4P74731W4a9880005201355" TargetMode="External"/><Relationship Id="rId5" Type="http://schemas.openxmlformats.org/officeDocument/2006/relationships/hyperlink" Target="https://www.ngpedia.ru/pg3116168qKbTFZ30002201355" TargetMode="External"/><Relationship Id="rId15" Type="http://schemas.openxmlformats.org/officeDocument/2006/relationships/hyperlink" Target="https://www.ngpedia.ru/pg5187504OXH5Tov0009201355" TargetMode="External"/><Relationship Id="rId10" Type="http://schemas.openxmlformats.org/officeDocument/2006/relationships/hyperlink" Target="https://www.ngpedia.ru/searchdata/?squery=%D0%9F%D1%80%D0%B8%D0%BD%D1%86%D0%B8%D0%BF%20%D0%B4%D0%B5%D0%B9%D1%81%D1%82%D0%B2%D0%B8%D1%8F%20%D1%84%D0%B8%D0%BB%D1%8C%D1%82%D1%80%D0%B0%20%D1%82%D0%B8%D0%BF%D0%B0%20%D0%A2%D0%B5%D0%BB%D0%BB.&amp;search_area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ngpedia.ru/pg5126563bYwv0bC0001201355" TargetMode="External"/><Relationship Id="rId9" Type="http://schemas.openxmlformats.org/officeDocument/2006/relationships/image" Target="media/image1.gif"/><Relationship Id="rId14" Type="http://schemas.openxmlformats.org/officeDocument/2006/relationships/hyperlink" Target="https://www.ngpedia.ru/pg2233999eyIB55S0008201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2022-03-08T18:59:00Z</dcterms:created>
  <dcterms:modified xsi:type="dcterms:W3CDTF">2022-03-08T18:59:00Z</dcterms:modified>
</cp:coreProperties>
</file>