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5" w:rsidRDefault="008B2925" w:rsidP="008B29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Интерактивные игры как средство активации </w:t>
      </w:r>
    </w:p>
    <w:p w:rsidR="008B2925" w:rsidRDefault="008B2925" w:rsidP="008B29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2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познавательной деятельности обучающихся</w:t>
      </w:r>
      <w:r w:rsidR="000C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уроках химии</w:t>
      </w:r>
      <w:proofErr w:type="gramEnd"/>
    </w:p>
    <w:p w:rsidR="008B2925" w:rsidRPr="008B2925" w:rsidRDefault="008B2925" w:rsidP="008B29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7A1" w:rsidRDefault="00B757A1" w:rsidP="00B7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время – время перемен. Стремительно развивающиеся изменения в обществе  и экономике требуют сегодня от человека умения быстро адаптироваться к новым условиям, находить оптимальные решения сложных вопросов, проявлять гибкость и творчество, уметь налаживать эффективные коммуникации с разными людьми. Целями школьного образования, которые ставят перед школой государство, общество, семья, помимо приобретения современных знаний и умений, является раскрытие и развитие потенциала ребенка, создание условий для формирования самостоятельной личности, владеющей инструментарием саморазвития и самосовершенствования. Из многообразия современных методов обучения, как ведущие предлагаются интерактивные. Данные методы, как ни какие другие, способствует формированию практически всех ключевых компетенций у учащихся. Доминирование интерактивных методов в обучении не означает полное исключение иных, оно предполагает лишь их преобладание.</w:t>
      </w:r>
    </w:p>
    <w:p w:rsidR="00B757A1" w:rsidRDefault="00B757A1" w:rsidP="00B7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B757A1" w:rsidRDefault="00B757A1" w:rsidP="00B7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универсальная форма дидактического взаимодействия учителя с учениками и учащихся между собой. Интерактивные упражнения и задания, данные в игровой форме, усиливают мотивацию обучения и желание идти на урок. Высокий уровень активности учащихся достигается почти всегда добровольно, без принуждения и очень быстро.</w:t>
      </w:r>
    </w:p>
    <w:p w:rsidR="00B757A1" w:rsidRDefault="00B757A1" w:rsidP="00B7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Многие учителя считают, что игра требует больших усилий и подготовки, что дети после игры долго не могут «придти в себя». Лично я так не считаю. Вот несколько правил, которых я придерживаюсь при проведении игр:</w:t>
      </w:r>
    </w:p>
    <w:p w:rsidR="00B757A1" w:rsidRDefault="00B757A1" w:rsidP="00B757A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 возрастные особенности.</w:t>
      </w:r>
    </w:p>
    <w:p w:rsidR="00B757A1" w:rsidRDefault="00B757A1" w:rsidP="00B757A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Стараюсь вовлечь в игру всех детей без исключения.</w:t>
      </w:r>
    </w:p>
    <w:p w:rsidR="00B757A1" w:rsidRDefault="00B757A1" w:rsidP="00B757A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провожу специальной подготовки, репетиций, не требую от детей заучивания текста.</w:t>
      </w:r>
    </w:p>
    <w:p w:rsidR="00B757A1" w:rsidRDefault="00B757A1" w:rsidP="00B757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– вид деятельности, который присущи детям, и взрослым, поэтому использование данного вида деятельности в образовательном процессе известно давно, однако важным является применение такого аспекта этой деятельности, который способствует появлению непроизвольного интереса к познанию основ естественных наук. При этом должно происходить серьезное и глубинное восприятие изучаемого материала. Игра не должна привести к неправильному пониманию той или иной проблемы, обучающиеся должны проникнуться сложностью изучаемого материала и понимать, что процесс учения является не только интересной игрой. Использование разных типов игр – деловых, ролевых, дидактических для разрешения учебных проблем вносит разнообразие в течение предметного образовательного процесса, вызывает формирование положительной мотивации изучения данного предмета. Игра стимулирует активное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процессе и вовлекает даже наиболее пассивных.</w:t>
      </w:r>
    </w:p>
    <w:p w:rsidR="008B2925" w:rsidRDefault="00B757A1" w:rsidP="008B2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Практика подтвердила эффективность применения игровых методик на завершающем этапе (по завершению изучения темы, раздела, курса) обучения химии.</w:t>
      </w:r>
    </w:p>
    <w:p w:rsid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9B9">
        <w:rPr>
          <w:rFonts w:ascii="Times New Roman" w:hAnsi="Times New Roman" w:cs="Times New Roman"/>
          <w:b/>
          <w:sz w:val="24"/>
          <w:szCs w:val="24"/>
        </w:rPr>
        <w:t>Игровые технологии в образовательном процессе подразделяются: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9B9">
        <w:rPr>
          <w:rFonts w:ascii="Times New Roman" w:hAnsi="Times New Roman" w:cs="Times New Roman"/>
          <w:i/>
          <w:sz w:val="24"/>
          <w:szCs w:val="24"/>
        </w:rPr>
        <w:t>1) По виду деятельности: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физические (двигательные), интеллектуальные (умственные), трудовые, соц</w:t>
      </w:r>
      <w:r w:rsidRPr="000719B9">
        <w:rPr>
          <w:rFonts w:ascii="Times New Roman" w:hAnsi="Times New Roman" w:cs="Times New Roman"/>
          <w:sz w:val="24"/>
          <w:szCs w:val="24"/>
        </w:rPr>
        <w:t>и</w:t>
      </w:r>
      <w:r w:rsidRPr="000719B9">
        <w:rPr>
          <w:rFonts w:ascii="Times New Roman" w:hAnsi="Times New Roman" w:cs="Times New Roman"/>
          <w:sz w:val="24"/>
          <w:szCs w:val="24"/>
        </w:rPr>
        <w:t>альные, психологические.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 xml:space="preserve"> </w:t>
      </w:r>
      <w:r w:rsidRPr="000719B9">
        <w:rPr>
          <w:rFonts w:ascii="Times New Roman" w:hAnsi="Times New Roman" w:cs="Times New Roman"/>
          <w:i/>
          <w:sz w:val="24"/>
          <w:szCs w:val="24"/>
        </w:rPr>
        <w:t>2) По характеру педагогического процесса: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- обучающие, тренировочные, контролирующие, обобщающие;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- познавательные, воспитательные, развивающие;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- репродуктивные, продуктивные, творческие;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 xml:space="preserve">- коммуникативные, диагностические, </w:t>
      </w:r>
      <w:proofErr w:type="spellStart"/>
      <w:r w:rsidRPr="000719B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719B9">
        <w:rPr>
          <w:rFonts w:ascii="Times New Roman" w:hAnsi="Times New Roman" w:cs="Times New Roman"/>
          <w:sz w:val="24"/>
          <w:szCs w:val="24"/>
        </w:rPr>
        <w:t>, психотехнич</w:t>
      </w:r>
      <w:r w:rsidRPr="000719B9">
        <w:rPr>
          <w:rFonts w:ascii="Times New Roman" w:hAnsi="Times New Roman" w:cs="Times New Roman"/>
          <w:sz w:val="24"/>
          <w:szCs w:val="24"/>
        </w:rPr>
        <w:t>е</w:t>
      </w:r>
      <w:r w:rsidRPr="000719B9">
        <w:rPr>
          <w:rFonts w:ascii="Times New Roman" w:hAnsi="Times New Roman" w:cs="Times New Roman"/>
          <w:sz w:val="24"/>
          <w:szCs w:val="24"/>
        </w:rPr>
        <w:t>ские.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9B9">
        <w:rPr>
          <w:rFonts w:ascii="Times New Roman" w:hAnsi="Times New Roman" w:cs="Times New Roman"/>
          <w:i/>
          <w:sz w:val="24"/>
          <w:szCs w:val="24"/>
        </w:rPr>
        <w:t>3) По характеру технологии игры: предметные, сюжетные, ролевые, деловые, имит</w:t>
      </w:r>
      <w:r w:rsidRPr="000719B9">
        <w:rPr>
          <w:rFonts w:ascii="Times New Roman" w:hAnsi="Times New Roman" w:cs="Times New Roman"/>
          <w:i/>
          <w:sz w:val="24"/>
          <w:szCs w:val="24"/>
        </w:rPr>
        <w:t>а</w:t>
      </w:r>
      <w:r w:rsidRPr="000719B9">
        <w:rPr>
          <w:rFonts w:ascii="Times New Roman" w:hAnsi="Times New Roman" w:cs="Times New Roman"/>
          <w:i/>
          <w:sz w:val="24"/>
          <w:szCs w:val="24"/>
        </w:rPr>
        <w:t>ционные.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Учебные игры характеризуются учебными целями и задачами, формой проведения, способом организации, степенью сложности, количественным с</w:t>
      </w:r>
      <w:r w:rsidRPr="000719B9">
        <w:rPr>
          <w:rFonts w:ascii="Times New Roman" w:hAnsi="Times New Roman" w:cs="Times New Roman"/>
          <w:sz w:val="24"/>
          <w:szCs w:val="24"/>
        </w:rPr>
        <w:t>о</w:t>
      </w:r>
      <w:r w:rsidRPr="000719B9">
        <w:rPr>
          <w:rFonts w:ascii="Times New Roman" w:hAnsi="Times New Roman" w:cs="Times New Roman"/>
          <w:sz w:val="24"/>
          <w:szCs w:val="24"/>
        </w:rPr>
        <w:t>ставом участников. Так по количественному составу участников игры подра</w:t>
      </w:r>
      <w:r w:rsidRPr="000719B9">
        <w:rPr>
          <w:rFonts w:ascii="Times New Roman" w:hAnsi="Times New Roman" w:cs="Times New Roman"/>
          <w:sz w:val="24"/>
          <w:szCs w:val="24"/>
        </w:rPr>
        <w:t>з</w:t>
      </w:r>
      <w:r w:rsidRPr="000719B9">
        <w:rPr>
          <w:rFonts w:ascii="Times New Roman" w:hAnsi="Times New Roman" w:cs="Times New Roman"/>
          <w:sz w:val="24"/>
          <w:szCs w:val="24"/>
        </w:rPr>
        <w:t>деляются на индивидуальные и парные, групповые, коллективные. По характ</w:t>
      </w:r>
      <w:r w:rsidRPr="000719B9">
        <w:rPr>
          <w:rFonts w:ascii="Times New Roman" w:hAnsi="Times New Roman" w:cs="Times New Roman"/>
          <w:sz w:val="24"/>
          <w:szCs w:val="24"/>
        </w:rPr>
        <w:t>е</w:t>
      </w:r>
      <w:r w:rsidRPr="000719B9">
        <w:rPr>
          <w:rFonts w:ascii="Times New Roman" w:hAnsi="Times New Roman" w:cs="Times New Roman"/>
          <w:sz w:val="24"/>
          <w:szCs w:val="24"/>
        </w:rPr>
        <w:t>ру и форме проведения выделяют игры предметные подвижные, ролевые, игры – соревн</w:t>
      </w:r>
      <w:r w:rsidRPr="000719B9">
        <w:rPr>
          <w:rFonts w:ascii="Times New Roman" w:hAnsi="Times New Roman" w:cs="Times New Roman"/>
          <w:sz w:val="24"/>
          <w:szCs w:val="24"/>
        </w:rPr>
        <w:t>о</w:t>
      </w:r>
      <w:r w:rsidRPr="000719B9">
        <w:rPr>
          <w:rFonts w:ascii="Times New Roman" w:hAnsi="Times New Roman" w:cs="Times New Roman"/>
          <w:sz w:val="24"/>
          <w:szCs w:val="24"/>
        </w:rPr>
        <w:t>вания интеллектуальные и др. По способу организации игры бывают компь</w:t>
      </w:r>
      <w:r w:rsidRPr="000719B9">
        <w:rPr>
          <w:rFonts w:ascii="Times New Roman" w:hAnsi="Times New Roman" w:cs="Times New Roman"/>
          <w:sz w:val="24"/>
          <w:szCs w:val="24"/>
        </w:rPr>
        <w:t>ю</w:t>
      </w:r>
      <w:r w:rsidRPr="000719B9">
        <w:rPr>
          <w:rFonts w:ascii="Times New Roman" w:hAnsi="Times New Roman" w:cs="Times New Roman"/>
          <w:sz w:val="24"/>
          <w:szCs w:val="24"/>
        </w:rPr>
        <w:t>терные, имитационно-моделирующие, письменные. По степени сложности в</w:t>
      </w:r>
      <w:r w:rsidRPr="000719B9">
        <w:rPr>
          <w:rFonts w:ascii="Times New Roman" w:hAnsi="Times New Roman" w:cs="Times New Roman"/>
          <w:sz w:val="24"/>
          <w:szCs w:val="24"/>
        </w:rPr>
        <w:t>ы</w:t>
      </w:r>
      <w:r w:rsidRPr="000719B9">
        <w:rPr>
          <w:rFonts w:ascii="Times New Roman" w:hAnsi="Times New Roman" w:cs="Times New Roman"/>
          <w:sz w:val="24"/>
          <w:szCs w:val="24"/>
        </w:rPr>
        <w:t>полняемых действий различают простые и сложные игры, по длительности проведения – скоротечные и пр</w:t>
      </w:r>
      <w:r w:rsidRPr="000719B9">
        <w:rPr>
          <w:rFonts w:ascii="Times New Roman" w:hAnsi="Times New Roman" w:cs="Times New Roman"/>
          <w:sz w:val="24"/>
          <w:szCs w:val="24"/>
        </w:rPr>
        <w:t>о</w:t>
      </w:r>
      <w:r w:rsidRPr="000719B9">
        <w:rPr>
          <w:rFonts w:ascii="Times New Roman" w:hAnsi="Times New Roman" w:cs="Times New Roman"/>
          <w:sz w:val="24"/>
          <w:szCs w:val="24"/>
        </w:rPr>
        <w:t xml:space="preserve">должительные. </w:t>
      </w:r>
    </w:p>
    <w:p w:rsidR="000719B9" w:rsidRPr="000719B9" w:rsidRDefault="000719B9" w:rsidP="000719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Существующее многообразие учебных игр позволяет использовать их практически на каждом этапе урока – при проведении опроса и закрепления м</w:t>
      </w:r>
      <w:r w:rsidRPr="000719B9">
        <w:rPr>
          <w:rFonts w:ascii="Times New Roman" w:hAnsi="Times New Roman" w:cs="Times New Roman"/>
          <w:sz w:val="24"/>
          <w:szCs w:val="24"/>
        </w:rPr>
        <w:t>а</w:t>
      </w:r>
      <w:r w:rsidRPr="000719B9">
        <w:rPr>
          <w:rFonts w:ascii="Times New Roman" w:hAnsi="Times New Roman" w:cs="Times New Roman"/>
          <w:sz w:val="24"/>
          <w:szCs w:val="24"/>
        </w:rPr>
        <w:t xml:space="preserve">териала как домашнее задание или </w:t>
      </w:r>
      <w:proofErr w:type="gramStart"/>
      <w:r w:rsidRPr="000719B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719B9">
        <w:rPr>
          <w:rFonts w:ascii="Times New Roman" w:hAnsi="Times New Roman" w:cs="Times New Roman"/>
          <w:sz w:val="24"/>
          <w:szCs w:val="24"/>
        </w:rPr>
        <w:t xml:space="preserve"> как вариант проведения обобщающего урок.</w:t>
      </w:r>
    </w:p>
    <w:p w:rsidR="008B2925" w:rsidRPr="000719B9" w:rsidRDefault="00B757A1" w:rsidP="008B29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19B9">
        <w:rPr>
          <w:rFonts w:ascii="Times New Roman" w:hAnsi="Times New Roman" w:cs="Times New Roman"/>
          <w:b/>
          <w:color w:val="000000"/>
          <w:sz w:val="24"/>
          <w:szCs w:val="24"/>
        </w:rPr>
        <w:t>Вот некоторые игры и упражнения, которые я использую на своих уроках:</w:t>
      </w:r>
      <w:r w:rsidRPr="000719B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8B2925" w:rsidRDefault="00B757A1" w:rsidP="008B29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Игра « Добудем знания сами</w:t>
      </w:r>
      <w:r w:rsidR="00DA3E9B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0C26D7" w:rsidRPr="008B2925" w:rsidRDefault="000C26D7" w:rsidP="008B29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925" w:rsidRDefault="00B757A1" w:rsidP="008B2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 делится на группы, причем не по собственному усмотрению, а по какому-нибудь признаку, например, по времени года,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родился; по зодиакальным стихиям; на счет раз, два, три, четыре, пять и т.д. Все зависит от того, на какое число групп вы хотите разбить класс. Каждой группе дается задание. Условием проведения этой игры является наличие в классе достаточного количества дополнительной литературы, а не только учебников. Ребята сами ищут нужную информацию в учебной литературе, выписывают, через 15 м</w:t>
      </w:r>
      <w:r w:rsidR="008B292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очереди рассказывают или показывают классу. Ребята учатся добывать нужную информацию в книгах, перерабатывать полученную информацию, передавать ее своим одноклассникам. Очень трудно избежать работы в группе, так сказать отсидеться, так как времени мало и в собирании информации задействованы все участники группы. Как известно, знания, добытые самим человеком, остаются с ним навсегда.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8B2925" w:rsidRDefault="00B757A1" w:rsidP="008B2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Игра «Продолжи решение»</w:t>
      </w:r>
    </w:p>
    <w:p w:rsidR="000C26D7" w:rsidRDefault="000C26D7" w:rsidP="008B2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B2925" w:rsidRDefault="00B757A1" w:rsidP="00DA3E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3E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8B2925" w:rsidRPr="008B2925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Pr="008B2925">
        <w:rPr>
          <w:rFonts w:ascii="Times New Roman" w:hAnsi="Times New Roman" w:cs="Times New Roman"/>
          <w:color w:val="000000"/>
          <w:sz w:val="24"/>
          <w:szCs w:val="24"/>
        </w:rPr>
        <w:t xml:space="preserve">ебята передают друг другу </w:t>
      </w:r>
      <w:proofErr w:type="gramStart"/>
      <w:r w:rsidRPr="008B2925">
        <w:rPr>
          <w:rFonts w:ascii="Times New Roman" w:hAnsi="Times New Roman" w:cs="Times New Roman"/>
          <w:color w:val="000000"/>
          <w:sz w:val="24"/>
          <w:szCs w:val="24"/>
        </w:rPr>
        <w:t>листок</w:t>
      </w:r>
      <w:proofErr w:type="gramEnd"/>
      <w:r w:rsidRPr="008B2925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котором поэтапно записы</w:t>
      </w:r>
      <w:r w:rsidR="008B2925" w:rsidRPr="008B2925">
        <w:rPr>
          <w:rFonts w:ascii="Times New Roman" w:hAnsi="Times New Roman" w:cs="Times New Roman"/>
          <w:color w:val="000000"/>
          <w:sz w:val="24"/>
          <w:szCs w:val="24"/>
        </w:rPr>
        <w:t>вают условие и решение задачи (</w:t>
      </w:r>
      <w:r w:rsidRPr="008B2925">
        <w:rPr>
          <w:rFonts w:ascii="Times New Roman" w:hAnsi="Times New Roman" w:cs="Times New Roman"/>
          <w:color w:val="000000"/>
          <w:sz w:val="24"/>
          <w:szCs w:val="24"/>
        </w:rPr>
        <w:t>или только решение, или только условие).</w:t>
      </w:r>
      <w:r w:rsidR="008B2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Очень часто дети боятся ошибиться и получить «двойку», некоторые теряются при ответе у доски. </w:t>
      </w:r>
    </w:p>
    <w:p w:rsidR="00DA3E9B" w:rsidRDefault="00DA3E9B" w:rsidP="00DA3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8B2925" w:rsidRDefault="00B757A1" w:rsidP="008B2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Сходства и различия»</w:t>
      </w:r>
    </w:p>
    <w:p w:rsidR="000C26D7" w:rsidRDefault="000C26D7" w:rsidP="008B2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B757A1" w:rsidRPr="008B2925" w:rsidRDefault="00B757A1" w:rsidP="008B29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Игра тренирует умение давать сравнительную характеристику. Учитель предлагает учащимся два химических объекта: два вещества, два элемента, физическое и химическое явления, два химических явления, смесь и соединение и т.д. Учащиеся должны найти и выписать в две колонки как можно больше общих признаков и отличий этих объектов. Затем школьники объединяются в пары или четвёрки и составляют общий список. Вслух зачитывают самый длинный перечень, его дополняют признаками, которые не были отмечены, из списков других групп. Дальнейшая работа со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списком может быть различной. Можно предложить учащимся выделить наиболее существенные признаки и аргументировать свой выбор либо выбрать признаки, которые помогут: а) различить объекты; б) разделить объекты; в) классифицировать объекты.</w:t>
      </w:r>
    </w:p>
    <w:p w:rsidR="008B2925" w:rsidRDefault="008B2925" w:rsidP="008B2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B2925" w:rsidRDefault="00B757A1" w:rsidP="008B2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«Найди ошибку»</w:t>
      </w:r>
    </w:p>
    <w:p w:rsidR="000C26D7" w:rsidRDefault="000C26D7" w:rsidP="008B2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A3E9B" w:rsidRDefault="00B757A1" w:rsidP="008B2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понятия «простое вещество», «сложное вещество», развить внимание учащихся, выработать умение быстро находить верные и отвергать неверные решения.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Материалы для игры: Карточки с 5–6 строками названий простых и сложных веществ.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2925" w:rsidRDefault="00DA3E9B" w:rsidP="008B2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«Узнай меня»</w:t>
      </w:r>
    </w:p>
    <w:p w:rsidR="000C26D7" w:rsidRDefault="000C26D7" w:rsidP="008B2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B2925" w:rsidRDefault="00B757A1" w:rsidP="00DA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первоначальные понятия о типах химических реакций, развить внимание и зрительную память. На доске учитель пишет названия химических реакций различных типов (реакций соединения, разложения, замещения, обмена) и распределяет их среди четырех игроков. На столе в беспорядке находятся карточки с уравнениями химических реакций разных типов. Каждый ученик должен выбрать среди всех карточек только те, на которых написаны уравнения химических реакций нужного ему типа, и прикрепить эти карточки к доске под названием типа реакции. Ученик, допустивший ошибку, дает определение реакции данного типа и приводит пример.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3E9B" w:rsidRDefault="00B757A1" w:rsidP="00DA3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«Цепочка»</w:t>
      </w:r>
    </w:p>
    <w:p w:rsidR="00B757A1" w:rsidRPr="008B2925" w:rsidRDefault="00B757A1" w:rsidP="00DA3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C2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мышление учащихся, научить просчитывать нужные варианты решения и лучше ориентироваться в периодической системе. Материал для игры: Периодическая система химических элементов Д.И. Менделеева. Задание. Ученики в классе делятся на команды (лучше по вариантам). Ребята за первыми столами по команде ведущего пишут на листе название химического элемента и передают листок ученикам за вторыми столами. Те должны написать рядом название другого элемента, начинающегося на букву, которой кончается первое название, и так далее. Побеждает команда, составившая наиболее длинную цепочку-чайнворд. </w:t>
      </w:r>
    </w:p>
    <w:p w:rsidR="00B757A1" w:rsidRDefault="00B757A1" w:rsidP="00DA3E9B">
      <w:pP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57A1" w:rsidRPr="000C26D7" w:rsidRDefault="00B757A1" w:rsidP="00DA3E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0C2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«Третий лишний»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вещество, которое является лишним в каждой строчке.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HCI  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HCI  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NaCI</w:t>
      </w:r>
      <w:proofErr w:type="spellEnd"/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BaSO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B757A1" w:rsidRDefault="00B757A1" w:rsidP="000C2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 выводы</w:t>
      </w:r>
      <w:r w:rsidR="00DA3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A3E9B" w:rsidRDefault="00B757A1" w:rsidP="00DA3E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игр на уроках химии показывает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восстребованность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данной технологии. </w:t>
      </w:r>
      <w:r w:rsidR="00DA3E9B" w:rsidRPr="00DA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было опрошено 103 учащихся с целью выявления позитивного отношения к используемой технологии. Результаты анкетирования выявили следующую картину: уроки-игры нравятся 90 чел., что составляет 87 % опрошенных.</w:t>
      </w:r>
    </w:p>
    <w:p w:rsidR="00B757A1" w:rsidRDefault="00B757A1" w:rsidP="00DA3E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результаты доказывают заинтересованность учащихся в использовании данной технологии.</w:t>
      </w:r>
    </w:p>
    <w:p w:rsidR="00B757A1" w:rsidRDefault="00B757A1" w:rsidP="00B757A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Игровой метод как интерактивные технологии обучения химии следует шире применять в образовательном процессе, причем систематически, а не от случая к случаю. Лишь систематическое целенаправленное использование различных игровых ситуаций может дать определенные результаты как в изменении основных качеств личности ребенка, так и в результативности учебной </w:t>
      </w:r>
      <w:r w:rsidRPr="000C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обучении в целом.</w:t>
      </w:r>
    </w:p>
    <w:p w:rsidR="000C26D7" w:rsidRDefault="00B757A1" w:rsidP="000C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– не самоцель, а средство обучения, способствующее активизации учебной деятельности школьников, применение которого в сочетании с другими средствами должно внести свой вклад в решение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общеобразовательной школы.</w:t>
      </w:r>
    </w:p>
    <w:p w:rsidR="000C26D7" w:rsidRPr="000C26D7" w:rsidRDefault="000C26D7" w:rsidP="000C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6D7" w:rsidRDefault="000C26D7" w:rsidP="000C26D7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26D7" w:rsidRDefault="000C26D7" w:rsidP="000C26D7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используемой  литературы.</w:t>
      </w:r>
    </w:p>
    <w:p w:rsidR="000C26D7" w:rsidRPr="000C26D7" w:rsidRDefault="000C26D7" w:rsidP="000C26D7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26D7" w:rsidRPr="000C26D7" w:rsidRDefault="000C26D7" w:rsidP="000C26D7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C26D7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1</w:t>
      </w:r>
      <w:r w:rsidRPr="007757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  </w:t>
      </w:r>
      <w:r w:rsidRPr="00775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Федеральный государственный образовательный стандарт школьного образования // М: УЦ Перспектива, 2012. – 20 </w:t>
      </w:r>
      <w:proofErr w:type="gramStart"/>
      <w:r w:rsidRPr="00775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proofErr w:type="gramEnd"/>
      <w:r w:rsidRPr="00775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0C26D7" w:rsidRPr="007757AB" w:rsidRDefault="007757AB" w:rsidP="000C26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2</w:t>
      </w:r>
      <w:r w:rsidR="000C26D7" w:rsidRPr="007757AB">
        <w:rPr>
          <w:rStyle w:val="c1"/>
          <w:color w:val="000000"/>
        </w:rPr>
        <w:t xml:space="preserve">. </w:t>
      </w:r>
      <w:r>
        <w:rPr>
          <w:rStyle w:val="c1"/>
          <w:color w:val="000000"/>
        </w:rPr>
        <w:t xml:space="preserve"> </w:t>
      </w:r>
      <w:r w:rsidR="000C26D7" w:rsidRPr="007757AB">
        <w:rPr>
          <w:rStyle w:val="c1"/>
          <w:color w:val="000000"/>
        </w:rPr>
        <w:t>Маркова</w:t>
      </w:r>
      <w:r>
        <w:rPr>
          <w:rStyle w:val="c1"/>
          <w:color w:val="000000"/>
        </w:rPr>
        <w:t>,</w:t>
      </w:r>
      <w:r w:rsidR="000C26D7" w:rsidRPr="007757AB">
        <w:rPr>
          <w:rStyle w:val="c1"/>
          <w:color w:val="000000"/>
        </w:rPr>
        <w:t xml:space="preserve"> А.К., </w:t>
      </w:r>
      <w:proofErr w:type="spellStart"/>
      <w:r w:rsidR="000C26D7" w:rsidRPr="007757AB">
        <w:rPr>
          <w:rStyle w:val="c1"/>
          <w:color w:val="000000"/>
        </w:rPr>
        <w:t>Матис</w:t>
      </w:r>
      <w:proofErr w:type="spellEnd"/>
      <w:r>
        <w:rPr>
          <w:rStyle w:val="c1"/>
          <w:color w:val="000000"/>
        </w:rPr>
        <w:t>,</w:t>
      </w:r>
      <w:r w:rsidR="000C26D7" w:rsidRPr="007757AB">
        <w:rPr>
          <w:rStyle w:val="c1"/>
          <w:color w:val="000000"/>
        </w:rPr>
        <w:t xml:space="preserve"> Т.А., Орлов</w:t>
      </w:r>
      <w:r>
        <w:rPr>
          <w:rStyle w:val="c1"/>
          <w:color w:val="000000"/>
        </w:rPr>
        <w:t>,</w:t>
      </w:r>
      <w:r w:rsidR="000C26D7" w:rsidRPr="007757AB">
        <w:rPr>
          <w:rStyle w:val="c1"/>
          <w:color w:val="000000"/>
        </w:rPr>
        <w:t xml:space="preserve"> А.Б. Формирование мотивации учения</w:t>
      </w:r>
      <w:r>
        <w:rPr>
          <w:rStyle w:val="c1"/>
          <w:color w:val="000000"/>
        </w:rPr>
        <w:t>/</w:t>
      </w:r>
      <w:r w:rsidRPr="007757A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А.К. </w:t>
      </w:r>
      <w:r w:rsidRPr="007757AB">
        <w:rPr>
          <w:rStyle w:val="c1"/>
          <w:color w:val="000000"/>
        </w:rPr>
        <w:t xml:space="preserve">Маркова </w:t>
      </w:r>
      <w:r>
        <w:rPr>
          <w:rStyle w:val="c1"/>
          <w:color w:val="000000"/>
        </w:rPr>
        <w:t>//</w:t>
      </w:r>
      <w:r w:rsidRPr="007757AB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</w:t>
      </w:r>
      <w:r w:rsidR="000C26D7" w:rsidRPr="007757AB">
        <w:rPr>
          <w:rStyle w:val="c1"/>
          <w:color w:val="000000"/>
        </w:rPr>
        <w:t>М: Просвещение</w:t>
      </w:r>
      <w:r>
        <w:rPr>
          <w:rStyle w:val="c1"/>
          <w:color w:val="000000"/>
        </w:rPr>
        <w:t xml:space="preserve"> – </w:t>
      </w:r>
      <w:r w:rsidR="000C26D7" w:rsidRPr="007757AB">
        <w:rPr>
          <w:rStyle w:val="c1"/>
          <w:color w:val="000000"/>
        </w:rPr>
        <w:t>1992</w:t>
      </w:r>
      <w:r>
        <w:rPr>
          <w:rStyle w:val="c1"/>
          <w:color w:val="000000"/>
        </w:rPr>
        <w:t xml:space="preserve"> – С.50-55.</w:t>
      </w:r>
    </w:p>
    <w:p w:rsidR="000C26D7" w:rsidRPr="007757AB" w:rsidRDefault="007757AB" w:rsidP="000C26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3</w:t>
      </w:r>
      <w:r w:rsidR="000C26D7" w:rsidRPr="007757AB">
        <w:rPr>
          <w:rStyle w:val="c1"/>
          <w:color w:val="000000"/>
        </w:rPr>
        <w:t xml:space="preserve">. </w:t>
      </w:r>
      <w:proofErr w:type="spellStart"/>
      <w:r w:rsidR="000C26D7" w:rsidRPr="007757AB">
        <w:rPr>
          <w:rStyle w:val="c1"/>
          <w:color w:val="000000"/>
        </w:rPr>
        <w:t>Селевко</w:t>
      </w:r>
      <w:proofErr w:type="spellEnd"/>
      <w:r>
        <w:rPr>
          <w:rStyle w:val="c1"/>
          <w:color w:val="000000"/>
        </w:rPr>
        <w:t xml:space="preserve">, Г.К., </w:t>
      </w:r>
      <w:r w:rsidR="000C26D7" w:rsidRPr="007757AB">
        <w:rPr>
          <w:rStyle w:val="c1"/>
          <w:color w:val="000000"/>
        </w:rPr>
        <w:t>Тихомирова Н.К. Педагогика сотрудниче</w:t>
      </w:r>
      <w:r>
        <w:rPr>
          <w:rStyle w:val="c1"/>
          <w:color w:val="000000"/>
        </w:rPr>
        <w:t xml:space="preserve">ства: методические рекомендации/Г.К. </w:t>
      </w:r>
      <w:proofErr w:type="spellStart"/>
      <w:r>
        <w:rPr>
          <w:rStyle w:val="c1"/>
          <w:color w:val="000000"/>
        </w:rPr>
        <w:t>Селивко</w:t>
      </w:r>
      <w:proofErr w:type="spellEnd"/>
      <w:r>
        <w:rPr>
          <w:rStyle w:val="c1"/>
          <w:color w:val="000000"/>
        </w:rPr>
        <w:t>//</w:t>
      </w:r>
      <w:r w:rsidR="000C26D7" w:rsidRPr="007757AB">
        <w:rPr>
          <w:rStyle w:val="c1"/>
          <w:color w:val="000000"/>
        </w:rPr>
        <w:t>– Ярославль 1988-89</w:t>
      </w:r>
      <w:r>
        <w:rPr>
          <w:rStyle w:val="c1"/>
          <w:color w:val="000000"/>
        </w:rPr>
        <w:t xml:space="preserve"> – С. 100-110.</w:t>
      </w:r>
    </w:p>
    <w:p w:rsidR="000C26D7" w:rsidRPr="007757AB" w:rsidRDefault="007757AB" w:rsidP="000C26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4</w:t>
      </w:r>
      <w:r w:rsidR="000C26D7" w:rsidRPr="007757AB">
        <w:rPr>
          <w:rStyle w:val="c1"/>
          <w:color w:val="000000"/>
        </w:rPr>
        <w:t>. Шмаков</w:t>
      </w:r>
      <w:r>
        <w:rPr>
          <w:rStyle w:val="c1"/>
          <w:color w:val="000000"/>
        </w:rPr>
        <w:t xml:space="preserve">, </w:t>
      </w:r>
      <w:r w:rsidR="000C26D7" w:rsidRPr="007757AB">
        <w:rPr>
          <w:rStyle w:val="c1"/>
          <w:color w:val="000000"/>
        </w:rPr>
        <w:t xml:space="preserve"> С.А.</w:t>
      </w:r>
      <w:r>
        <w:rPr>
          <w:rStyle w:val="c1"/>
          <w:color w:val="000000"/>
        </w:rPr>
        <w:t xml:space="preserve"> Игры учащихся феномен культур/С.А. Шмаков// </w:t>
      </w:r>
      <w:r w:rsidR="000C26D7" w:rsidRPr="007757AB">
        <w:rPr>
          <w:rStyle w:val="c1"/>
          <w:color w:val="000000"/>
        </w:rPr>
        <w:t>М: Новая школа</w:t>
      </w:r>
      <w:r>
        <w:rPr>
          <w:rStyle w:val="c1"/>
          <w:color w:val="000000"/>
        </w:rPr>
        <w:t xml:space="preserve"> - </w:t>
      </w:r>
      <w:r w:rsidR="000C26D7" w:rsidRPr="007757AB">
        <w:rPr>
          <w:rStyle w:val="c1"/>
          <w:color w:val="000000"/>
        </w:rPr>
        <w:t xml:space="preserve"> 1994</w:t>
      </w:r>
      <w:r>
        <w:rPr>
          <w:rStyle w:val="c1"/>
          <w:color w:val="000000"/>
        </w:rPr>
        <w:t xml:space="preserve"> – С. 12-15.</w:t>
      </w:r>
    </w:p>
    <w:p w:rsidR="000C26D7" w:rsidRPr="007757AB" w:rsidRDefault="007757AB" w:rsidP="000C26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5</w:t>
      </w:r>
      <w:r w:rsidR="000C26D7" w:rsidRPr="007757AB">
        <w:rPr>
          <w:rStyle w:val="c1"/>
          <w:color w:val="000000"/>
        </w:rPr>
        <w:t xml:space="preserve">. </w:t>
      </w:r>
      <w:proofErr w:type="spellStart"/>
      <w:r w:rsidR="000C26D7" w:rsidRPr="007757AB">
        <w:rPr>
          <w:rStyle w:val="c1"/>
          <w:color w:val="000000"/>
        </w:rPr>
        <w:t>Штемплер</w:t>
      </w:r>
      <w:proofErr w:type="spellEnd"/>
      <w:r>
        <w:rPr>
          <w:rStyle w:val="c1"/>
          <w:color w:val="000000"/>
        </w:rPr>
        <w:t>,</w:t>
      </w:r>
      <w:r w:rsidR="000C26D7" w:rsidRPr="007757AB">
        <w:rPr>
          <w:rStyle w:val="c1"/>
          <w:color w:val="000000"/>
        </w:rPr>
        <w:t xml:space="preserve"> Г.И. Дидактические игры при обучении химии</w:t>
      </w:r>
      <w:r>
        <w:rPr>
          <w:rStyle w:val="c1"/>
          <w:color w:val="000000"/>
        </w:rPr>
        <w:t xml:space="preserve">/Г.И. </w:t>
      </w:r>
      <w:proofErr w:type="spellStart"/>
      <w:r>
        <w:rPr>
          <w:rStyle w:val="c1"/>
          <w:color w:val="000000"/>
        </w:rPr>
        <w:t>Штемплер</w:t>
      </w:r>
      <w:proofErr w:type="spellEnd"/>
      <w:r>
        <w:rPr>
          <w:rStyle w:val="c1"/>
          <w:color w:val="000000"/>
        </w:rPr>
        <w:t xml:space="preserve">//М: Дрофа – </w:t>
      </w:r>
      <w:r w:rsidR="000C26D7" w:rsidRPr="007757AB">
        <w:rPr>
          <w:rStyle w:val="c1"/>
          <w:color w:val="000000"/>
        </w:rPr>
        <w:t>2003</w:t>
      </w:r>
      <w:r>
        <w:rPr>
          <w:rStyle w:val="c1"/>
          <w:color w:val="000000"/>
        </w:rPr>
        <w:t xml:space="preserve"> с. 43-45.</w:t>
      </w:r>
    </w:p>
    <w:p w:rsidR="00DD7A7F" w:rsidRPr="000C26D7" w:rsidRDefault="00DD7A7F" w:rsidP="000C26D7">
      <w:pPr>
        <w:spacing w:line="240" w:lineRule="auto"/>
        <w:rPr>
          <w:rFonts w:ascii="Times New Roman" w:hAnsi="Times New Roman" w:cs="Times New Roman"/>
        </w:rPr>
      </w:pPr>
    </w:p>
    <w:sectPr w:rsidR="00DD7A7F" w:rsidRPr="000C26D7" w:rsidSect="000C26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230"/>
    <w:multiLevelType w:val="multilevel"/>
    <w:tmpl w:val="8CC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D423A"/>
    <w:multiLevelType w:val="multilevel"/>
    <w:tmpl w:val="C04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7A1"/>
    <w:rsid w:val="000719B9"/>
    <w:rsid w:val="000C26D7"/>
    <w:rsid w:val="007757AB"/>
    <w:rsid w:val="008B2925"/>
    <w:rsid w:val="00B757A1"/>
    <w:rsid w:val="00C90F20"/>
    <w:rsid w:val="00DA3E9B"/>
    <w:rsid w:val="00D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A1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C2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8">
    <w:name w:val="c18"/>
    <w:basedOn w:val="a"/>
    <w:rsid w:val="000C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C26D7"/>
  </w:style>
  <w:style w:type="character" w:customStyle="1" w:styleId="c9">
    <w:name w:val="c9"/>
    <w:basedOn w:val="a0"/>
    <w:rsid w:val="000C26D7"/>
  </w:style>
  <w:style w:type="paragraph" w:customStyle="1" w:styleId="c16">
    <w:name w:val="c16"/>
    <w:basedOn w:val="a"/>
    <w:rsid w:val="000C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C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26D7"/>
  </w:style>
  <w:style w:type="paragraph" w:customStyle="1" w:styleId="c4">
    <w:name w:val="c4"/>
    <w:basedOn w:val="a"/>
    <w:rsid w:val="000C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1303</Words>
  <Characters>8984</Characters>
  <Application>Microsoft Office Word</Application>
  <DocSecurity>0</DocSecurity>
  <Lines>183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2019-10-11T11:41:00Z</dcterms:created>
  <dcterms:modified xsi:type="dcterms:W3CDTF">2019-10-11T12:40:00Z</dcterms:modified>
</cp:coreProperties>
</file>