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E4" w:rsidRDefault="00490FE4" w:rsidP="00490FE4">
      <w:pPr>
        <w:spacing w:after="0" w:line="240" w:lineRule="auto"/>
        <w:ind w:firstLine="567"/>
        <w:jc w:val="both"/>
        <w:rPr>
          <w:rFonts w:ascii="Times New Roman" w:hAnsi="Times New Roman" w:cs="Times New Roman"/>
          <w:b/>
          <w:caps/>
          <w:sz w:val="24"/>
          <w:szCs w:val="24"/>
        </w:rPr>
      </w:pPr>
    </w:p>
    <w:p w:rsidR="00490FE4" w:rsidRDefault="00490FE4" w:rsidP="00490FE4">
      <w:pPr>
        <w:spacing w:after="0" w:line="240" w:lineRule="auto"/>
        <w:ind w:firstLine="567"/>
        <w:jc w:val="both"/>
        <w:rPr>
          <w:rFonts w:ascii="Times New Roman" w:hAnsi="Times New Roman" w:cs="Times New Roman"/>
          <w:b/>
          <w:caps/>
          <w:sz w:val="24"/>
          <w:szCs w:val="24"/>
        </w:rPr>
      </w:pPr>
    </w:p>
    <w:p w:rsidR="00490FE4" w:rsidRDefault="00490FE4" w:rsidP="00490FE4">
      <w:pPr>
        <w:spacing w:after="0" w:line="240" w:lineRule="auto"/>
        <w:ind w:firstLine="567"/>
        <w:jc w:val="both"/>
        <w:rPr>
          <w:rFonts w:ascii="Times New Roman" w:hAnsi="Times New Roman" w:cs="Times New Roman"/>
          <w:b/>
          <w:caps/>
          <w:sz w:val="24"/>
          <w:szCs w:val="24"/>
        </w:rPr>
      </w:pPr>
      <w:r>
        <w:rPr>
          <w:rFonts w:ascii="Times New Roman" w:hAnsi="Times New Roman" w:cs="Times New Roman"/>
          <w:b/>
          <w:caps/>
          <w:sz w:val="24"/>
          <w:szCs w:val="24"/>
        </w:rPr>
        <w:t>Формирование мотивации у учащихся</w:t>
      </w:r>
    </w:p>
    <w:p w:rsidR="00490FE4" w:rsidRDefault="00490FE4" w:rsidP="00490FE4">
      <w:pPr>
        <w:spacing w:after="0" w:line="240" w:lineRule="auto"/>
        <w:ind w:firstLine="567"/>
        <w:jc w:val="both"/>
        <w:rPr>
          <w:rFonts w:ascii="Times New Roman" w:hAnsi="Times New Roman" w:cs="Times New Roman"/>
          <w:b/>
          <w:sz w:val="24"/>
          <w:szCs w:val="24"/>
        </w:rPr>
      </w:pP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 современном мире, чтобы быть успешным, человек находится в состоянии постоянного самообучения. Одним из основных составляющих элементов образования является мотивация. Мотивацию следует рассматривать как процессы, определяющие движение к назначенной цели, а так же формы, которые влияют на активность или пассивность поведения. Для определения мотивации можно вывести формулу:</w:t>
      </w:r>
    </w:p>
    <w:p w:rsidR="00490FE4" w:rsidRDefault="00490FE4" w:rsidP="00490FE4">
      <w:pPr>
        <w:spacing w:after="0" w:line="240" w:lineRule="auto"/>
        <w:ind w:firstLine="567"/>
        <w:jc w:val="both"/>
        <w:rPr>
          <w:rFonts w:ascii="Times New Roman" w:hAnsi="Times New Roman" w:cs="Times New Roman"/>
          <w:sz w:val="28"/>
          <w:szCs w:val="24"/>
        </w:rPr>
      </w:pPr>
    </w:p>
    <w:p w:rsidR="00490FE4" w:rsidRDefault="00490FE4" w:rsidP="00490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АКТИВИЗАЦИЯ+ИНТЕНСИВНОСТЬ+НАСТОЙЧИВОСТЬ=МОТИВАЦИЯ</w:t>
      </w:r>
      <w:r>
        <w:rPr>
          <w:rFonts w:ascii="Times New Roman" w:hAnsi="Times New Roman" w:cs="Times New Roman"/>
          <w:sz w:val="24"/>
          <w:szCs w:val="24"/>
        </w:rPr>
        <w:t>(1)</w:t>
      </w:r>
    </w:p>
    <w:p w:rsidR="00490FE4" w:rsidRDefault="00490FE4" w:rsidP="00490FE4">
      <w:pPr>
        <w:spacing w:after="0" w:line="240" w:lineRule="auto"/>
        <w:ind w:firstLine="567"/>
        <w:jc w:val="both"/>
        <w:rPr>
          <w:rFonts w:ascii="Times New Roman" w:hAnsi="Times New Roman" w:cs="Times New Roman"/>
          <w:sz w:val="28"/>
          <w:szCs w:val="24"/>
        </w:rPr>
      </w:pP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Где под </w:t>
      </w:r>
      <w:r>
        <w:rPr>
          <w:rFonts w:ascii="Times New Roman" w:hAnsi="Times New Roman" w:cs="Times New Roman"/>
          <w:i/>
          <w:sz w:val="28"/>
          <w:szCs w:val="24"/>
        </w:rPr>
        <w:t>активацией</w:t>
      </w:r>
      <w:r>
        <w:rPr>
          <w:rFonts w:ascii="Times New Roman" w:hAnsi="Times New Roman" w:cs="Times New Roman"/>
          <w:sz w:val="28"/>
          <w:szCs w:val="24"/>
        </w:rPr>
        <w:t xml:space="preserve"> будем понимать решение человека начать что-либо делать. Количество усилий, затрачиваемых на достижение цели, будет являться </w:t>
      </w:r>
      <w:r>
        <w:rPr>
          <w:rFonts w:ascii="Times New Roman" w:hAnsi="Times New Roman" w:cs="Times New Roman"/>
          <w:i/>
          <w:sz w:val="28"/>
          <w:szCs w:val="24"/>
        </w:rPr>
        <w:t>интенсивностью</w:t>
      </w:r>
      <w:r>
        <w:rPr>
          <w:rFonts w:ascii="Times New Roman" w:hAnsi="Times New Roman" w:cs="Times New Roman"/>
          <w:sz w:val="28"/>
          <w:szCs w:val="24"/>
        </w:rPr>
        <w:t xml:space="preserve">. Время, которое человек готов потратить на реализацию прикладываемых усилий для достижения намеченного результата, будем принимать за </w:t>
      </w:r>
      <w:r>
        <w:rPr>
          <w:rFonts w:ascii="Times New Roman" w:hAnsi="Times New Roman" w:cs="Times New Roman"/>
          <w:i/>
          <w:sz w:val="28"/>
          <w:szCs w:val="24"/>
        </w:rPr>
        <w:t>настойчивость</w:t>
      </w:r>
      <w:r>
        <w:rPr>
          <w:rFonts w:ascii="Times New Roman" w:hAnsi="Times New Roman" w:cs="Times New Roman"/>
          <w:sz w:val="28"/>
          <w:szCs w:val="24"/>
        </w:rPr>
        <w:t xml:space="preserve">. Невозможно исключить из данной формулы ни один компонент, так как только наличие их всех ведет к достижению поставленной цели. </w:t>
      </w: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По мнению И. </w:t>
      </w:r>
      <w:proofErr w:type="spellStart"/>
      <w:r>
        <w:rPr>
          <w:rFonts w:ascii="Times New Roman" w:hAnsi="Times New Roman" w:cs="Times New Roman"/>
          <w:sz w:val="28"/>
          <w:szCs w:val="24"/>
        </w:rPr>
        <w:t>Подласого</w:t>
      </w:r>
      <w:proofErr w:type="spellEnd"/>
      <w:r>
        <w:rPr>
          <w:rFonts w:ascii="Times New Roman" w:hAnsi="Times New Roman" w:cs="Times New Roman"/>
          <w:sz w:val="28"/>
          <w:szCs w:val="24"/>
        </w:rPr>
        <w:t xml:space="preserve">«мотивация – главная движущая сила дидактического процесса. Мотивы занимают первое место среди факторов, определяющих его производительность». Следовательно, мотивационная сфера обучения включает в себя следующие компоненты: мотивы, эмоции, умение учиться, что в огромной степени влияет на мотивацию. Так как перечисленные компоненты являются внутренними составляющими проявления личности, то учитель может только повлиять на формирование личных </w:t>
      </w:r>
      <w:proofErr w:type="spellStart"/>
      <w:r>
        <w:rPr>
          <w:rFonts w:ascii="Times New Roman" w:hAnsi="Times New Roman" w:cs="Times New Roman"/>
          <w:sz w:val="28"/>
          <w:szCs w:val="24"/>
        </w:rPr>
        <w:t>мотиваторов</w:t>
      </w:r>
      <w:proofErr w:type="spellEnd"/>
      <w:r>
        <w:rPr>
          <w:rFonts w:ascii="Times New Roman" w:hAnsi="Times New Roman" w:cs="Times New Roman"/>
          <w:sz w:val="28"/>
          <w:szCs w:val="24"/>
        </w:rPr>
        <w:t xml:space="preserve">, таких как интерес, склонности, моральные нормы, жизненные принципы, которые ученик использует для </w:t>
      </w:r>
      <w:proofErr w:type="spellStart"/>
      <w:r>
        <w:rPr>
          <w:rFonts w:ascii="Times New Roman" w:hAnsi="Times New Roman" w:cs="Times New Roman"/>
          <w:sz w:val="28"/>
          <w:szCs w:val="24"/>
        </w:rPr>
        <w:t>самоформирования</w:t>
      </w:r>
      <w:proofErr w:type="spellEnd"/>
      <w:r>
        <w:rPr>
          <w:rFonts w:ascii="Times New Roman" w:hAnsi="Times New Roman" w:cs="Times New Roman"/>
          <w:sz w:val="28"/>
          <w:szCs w:val="24"/>
        </w:rPr>
        <w:t xml:space="preserve"> мотивов. </w:t>
      </w: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Мотивацию условно можно разделить на две категории: внутреннюю и внешнюю. Внутренняя мотивация основана на потребности личности в освоении чего-либо нового, ее интересе к изучаемому процессу или объекту. Такая мотивация позволяет легко концентрироваться на учебной деятельности, к тому же процесс познания в этом случае не требует какого-либо вознаграждения. Однако, самой большой проблемой становится зависимость мотивации от настроения. Внешняя же мотивация с легкостью формируется за вознаграждение или отметку, при этом позволяет делать сложные задачи посильными. Но при этом в качестве риска возникает угроза </w:t>
      </w:r>
      <w:proofErr w:type="spellStart"/>
      <w:r>
        <w:rPr>
          <w:rFonts w:ascii="Times New Roman" w:hAnsi="Times New Roman" w:cs="Times New Roman"/>
          <w:sz w:val="28"/>
          <w:szCs w:val="24"/>
        </w:rPr>
        <w:t>прокрастинации</w:t>
      </w:r>
      <w:proofErr w:type="spellEnd"/>
      <w:r>
        <w:rPr>
          <w:rFonts w:ascii="Times New Roman" w:hAnsi="Times New Roman" w:cs="Times New Roman"/>
          <w:sz w:val="28"/>
          <w:szCs w:val="24"/>
        </w:rPr>
        <w:t xml:space="preserve">. Возможно откладывание дел на потом, что в свою очередь порождает возникновение жизненных проблем. </w:t>
      </w: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Люди добиваются большего, чем они запланировали тогда, когда они сами формируют свою цель деятельности. Для учащихся важно осознание изучаемого материала, его принятие, применение на практике в жизни. Определение перспектив учебной деятельности напрямую зависти от уровня </w:t>
      </w:r>
      <w:r>
        <w:rPr>
          <w:rFonts w:ascii="Times New Roman" w:hAnsi="Times New Roman" w:cs="Times New Roman"/>
          <w:sz w:val="28"/>
          <w:szCs w:val="24"/>
        </w:rPr>
        <w:lastRenderedPageBreak/>
        <w:t xml:space="preserve">мотивации, проявляемой учащимся к обучению. Для формирования внутренней мотивации вначале любой учебной деятельности полезно предоставить возможность каждому ученику сосредоточиться на вопросе «Зачем мне это необходимо?». Стоит заметить, как только учитель начинает отвечать на данный вопрос, так интерес в глазах учащихся исчезает. Раскрыв же содержание вопроса и предоставив возможность учащимся ответить на него с учетом личностного </w:t>
      </w:r>
      <w:proofErr w:type="spellStart"/>
      <w:r>
        <w:rPr>
          <w:rFonts w:ascii="Times New Roman" w:hAnsi="Times New Roman" w:cs="Times New Roman"/>
          <w:sz w:val="28"/>
          <w:szCs w:val="24"/>
        </w:rPr>
        <w:t>подхода,у</w:t>
      </w:r>
      <w:proofErr w:type="spellEnd"/>
      <w:r>
        <w:rPr>
          <w:rFonts w:ascii="Times New Roman" w:hAnsi="Times New Roman" w:cs="Times New Roman"/>
          <w:sz w:val="28"/>
          <w:szCs w:val="24"/>
        </w:rPr>
        <w:t xml:space="preserve"> дается активировать внутреннюю мотивацию. Для раскрытия содержания вопроса о личном принятии и значимости учебной деятельности можно предложить учащимся карту ключевых моментов. </w:t>
      </w:r>
    </w:p>
    <w:p w:rsidR="00490FE4" w:rsidRDefault="00490FE4" w:rsidP="00490FE4">
      <w:pPr>
        <w:spacing w:after="0" w:line="240" w:lineRule="auto"/>
        <w:ind w:firstLine="567"/>
        <w:jc w:val="both"/>
        <w:rPr>
          <w:rFonts w:ascii="Times New Roman" w:hAnsi="Times New Roman" w:cs="Times New Roman"/>
          <w:sz w:val="28"/>
          <w:szCs w:val="24"/>
        </w:rPr>
      </w:pPr>
    </w:p>
    <w:tbl>
      <w:tblPr>
        <w:tblStyle w:val="a4"/>
        <w:tblW w:w="0" w:type="auto"/>
        <w:tblInd w:w="108" w:type="dxa"/>
        <w:tblLook w:val="04A0"/>
      </w:tblPr>
      <w:tblGrid>
        <w:gridCol w:w="2121"/>
        <w:gridCol w:w="7342"/>
      </w:tblGrid>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center"/>
              <w:rPr>
                <w:rFonts w:ascii="Times New Roman" w:hAnsi="Times New Roman" w:cs="Times New Roman"/>
                <w:b/>
                <w:sz w:val="28"/>
                <w:szCs w:val="24"/>
              </w:rPr>
            </w:pPr>
            <w:bookmarkStart w:id="0" w:name="_GoBack"/>
            <w:r>
              <w:rPr>
                <w:rFonts w:ascii="Times New Roman" w:hAnsi="Times New Roman" w:cs="Times New Roman"/>
                <w:b/>
                <w:sz w:val="28"/>
                <w:szCs w:val="24"/>
              </w:rPr>
              <w:t>Ключевой момент</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pPr>
              <w:ind w:firstLine="567"/>
              <w:jc w:val="center"/>
              <w:rPr>
                <w:rFonts w:ascii="Times New Roman" w:hAnsi="Times New Roman" w:cs="Times New Roman"/>
                <w:b/>
                <w:sz w:val="28"/>
                <w:szCs w:val="24"/>
              </w:rPr>
            </w:pPr>
            <w:r>
              <w:rPr>
                <w:rFonts w:ascii="Times New Roman" w:hAnsi="Times New Roman" w:cs="Times New Roman"/>
                <w:b/>
                <w:sz w:val="28"/>
                <w:szCs w:val="24"/>
              </w:rPr>
              <w:t>Вопросы-подсказки</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Цель</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pStyle w:val="a3"/>
              <w:numPr>
                <w:ilvl w:val="0"/>
                <w:numId w:val="1"/>
              </w:numPr>
              <w:ind w:left="0" w:firstLine="567"/>
              <w:jc w:val="both"/>
              <w:rPr>
                <w:rFonts w:ascii="Times New Roman" w:hAnsi="Times New Roman" w:cs="Times New Roman"/>
                <w:sz w:val="28"/>
                <w:szCs w:val="24"/>
              </w:rPr>
            </w:pPr>
            <w:r>
              <w:rPr>
                <w:rFonts w:ascii="Times New Roman" w:hAnsi="Times New Roman" w:cs="Times New Roman"/>
                <w:sz w:val="28"/>
                <w:szCs w:val="24"/>
              </w:rPr>
              <w:t>Какую цель я ставлю перед собой?</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Средства и условия</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Какими средствами я распоряжаюсь?</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 я могу их использовать?</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Что может мне понадобиться дополнительно?</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Обязательства</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pStyle w:val="a3"/>
              <w:numPr>
                <w:ilvl w:val="0"/>
                <w:numId w:val="1"/>
              </w:numPr>
              <w:ind w:left="0" w:firstLine="567"/>
              <w:jc w:val="both"/>
              <w:rPr>
                <w:rFonts w:ascii="Times New Roman" w:hAnsi="Times New Roman" w:cs="Times New Roman"/>
                <w:sz w:val="28"/>
                <w:szCs w:val="24"/>
              </w:rPr>
            </w:pPr>
            <w:r>
              <w:rPr>
                <w:rFonts w:ascii="Times New Roman" w:hAnsi="Times New Roman" w:cs="Times New Roman"/>
                <w:sz w:val="28"/>
                <w:szCs w:val="24"/>
              </w:rPr>
              <w:t>Хочу ли я приложить все свои усилия для достижения цели?</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Действия</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Какие задачи передо мной стоят?</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Каким будет мой план действий?</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Какие шаги включает в себя мой план?</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Возможные препятствия и риски</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pStyle w:val="a3"/>
              <w:numPr>
                <w:ilvl w:val="0"/>
                <w:numId w:val="1"/>
              </w:numPr>
              <w:ind w:left="0" w:firstLine="567"/>
              <w:jc w:val="both"/>
              <w:rPr>
                <w:rFonts w:ascii="Times New Roman" w:hAnsi="Times New Roman" w:cs="Times New Roman"/>
                <w:sz w:val="28"/>
                <w:szCs w:val="24"/>
              </w:rPr>
            </w:pPr>
            <w:r>
              <w:rPr>
                <w:rFonts w:ascii="Times New Roman" w:hAnsi="Times New Roman" w:cs="Times New Roman"/>
                <w:sz w:val="28"/>
                <w:szCs w:val="24"/>
              </w:rPr>
              <w:t>Что может мне помешать в достижении цели?</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Время</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Сколько времени мне потребуется для реализации моего плана и достижения цели?</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Какую дату я определю себе как конечную?</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Наблюдение и контроль</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 мне себя проконтролировать?</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 я буду осуществлять контроль и наблюдение на каждом шаге продвижения к цели?</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Поддержка</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Нудна ли мне поддержка?</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чем она может выражаться?</w:t>
            </w:r>
          </w:p>
          <w:p w:rsidR="00490FE4" w:rsidRDefault="00490FE4" w:rsidP="00422E52">
            <w:pPr>
              <w:numPr>
                <w:ilvl w:val="0"/>
                <w:numId w:val="1"/>
              </w:numPr>
              <w:ind w:left="0"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Кто или что может мне ее оказать?</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Проверка</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pStyle w:val="a3"/>
              <w:numPr>
                <w:ilvl w:val="0"/>
                <w:numId w:val="1"/>
              </w:numPr>
              <w:ind w:left="0" w:firstLine="567"/>
              <w:jc w:val="both"/>
              <w:rPr>
                <w:rFonts w:ascii="Times New Roman" w:hAnsi="Times New Roman" w:cs="Times New Roman"/>
                <w:sz w:val="28"/>
                <w:szCs w:val="24"/>
              </w:rPr>
            </w:pPr>
            <w:r>
              <w:rPr>
                <w:rFonts w:ascii="Times New Roman" w:hAnsi="Times New Roman" w:cs="Times New Roman"/>
                <w:sz w:val="28"/>
                <w:szCs w:val="24"/>
              </w:rPr>
              <w:t>Нужно ли что-то изменить, чтобы достичь цели?</w:t>
            </w:r>
          </w:p>
        </w:tc>
      </w:tr>
      <w:tr w:rsidR="00490FE4" w:rsidTr="00490FE4">
        <w:tc>
          <w:tcPr>
            <w:tcW w:w="2127" w:type="dxa"/>
            <w:tcBorders>
              <w:top w:val="single" w:sz="4" w:space="0" w:color="auto"/>
              <w:left w:val="single" w:sz="4" w:space="0" w:color="auto"/>
              <w:bottom w:val="single" w:sz="4" w:space="0" w:color="auto"/>
              <w:right w:val="single" w:sz="4" w:space="0" w:color="auto"/>
            </w:tcBorders>
            <w:hideMark/>
          </w:tcPr>
          <w:p w:rsidR="00490FE4" w:rsidRDefault="00490FE4">
            <w:pPr>
              <w:jc w:val="both"/>
              <w:rPr>
                <w:rFonts w:ascii="Times New Roman" w:hAnsi="Times New Roman" w:cs="Times New Roman"/>
                <w:sz w:val="28"/>
                <w:szCs w:val="24"/>
              </w:rPr>
            </w:pPr>
            <w:r>
              <w:rPr>
                <w:rFonts w:ascii="Times New Roman" w:hAnsi="Times New Roman" w:cs="Times New Roman"/>
                <w:sz w:val="28"/>
                <w:szCs w:val="24"/>
              </w:rPr>
              <w:t>Самооценка</w:t>
            </w:r>
          </w:p>
        </w:tc>
        <w:tc>
          <w:tcPr>
            <w:tcW w:w="7512" w:type="dxa"/>
            <w:tcBorders>
              <w:top w:val="single" w:sz="4" w:space="0" w:color="auto"/>
              <w:left w:val="single" w:sz="4" w:space="0" w:color="auto"/>
              <w:bottom w:val="single" w:sz="4" w:space="0" w:color="auto"/>
              <w:right w:val="single" w:sz="4" w:space="0" w:color="auto"/>
            </w:tcBorders>
            <w:hideMark/>
          </w:tcPr>
          <w:p w:rsidR="00490FE4" w:rsidRDefault="00490FE4" w:rsidP="00422E52">
            <w:pPr>
              <w:pStyle w:val="a3"/>
              <w:numPr>
                <w:ilvl w:val="0"/>
                <w:numId w:val="1"/>
              </w:numPr>
              <w:ind w:left="0" w:firstLine="567"/>
              <w:jc w:val="both"/>
              <w:rPr>
                <w:rFonts w:ascii="Times New Roman" w:hAnsi="Times New Roman" w:cs="Times New Roman"/>
                <w:sz w:val="28"/>
                <w:szCs w:val="24"/>
              </w:rPr>
            </w:pPr>
            <w:r>
              <w:rPr>
                <w:rFonts w:ascii="Times New Roman" w:hAnsi="Times New Roman" w:cs="Times New Roman"/>
                <w:sz w:val="28"/>
                <w:szCs w:val="24"/>
              </w:rPr>
              <w:t>Насколько мне удалось достичь цели?</w:t>
            </w:r>
          </w:p>
        </w:tc>
      </w:tr>
      <w:bookmarkEnd w:id="0"/>
    </w:tbl>
    <w:p w:rsidR="00490FE4" w:rsidRDefault="00490FE4" w:rsidP="00490FE4">
      <w:pPr>
        <w:spacing w:after="0" w:line="240" w:lineRule="auto"/>
        <w:ind w:firstLine="567"/>
        <w:jc w:val="both"/>
        <w:rPr>
          <w:rFonts w:ascii="Times New Roman" w:hAnsi="Times New Roman" w:cs="Times New Roman"/>
          <w:sz w:val="28"/>
          <w:szCs w:val="24"/>
        </w:rPr>
      </w:pP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Данный прием позволяет точно определить желаемый результат учебного действия, наметить план его реализации с учетом ресурсов и рисков, но в первую очередь у учащегося формируется осознанное отношение к изучаемому материалу, а следовательно формируется внутренняя мотивация. Это позволяет сделать обучение значимым, так как учащиеся начинают воспринимать свою деятельность на уроках как важную, </w:t>
      </w:r>
      <w:r>
        <w:rPr>
          <w:rFonts w:ascii="Times New Roman" w:hAnsi="Times New Roman" w:cs="Times New Roman"/>
          <w:sz w:val="28"/>
          <w:szCs w:val="24"/>
        </w:rPr>
        <w:lastRenderedPageBreak/>
        <w:t>значимую и имеющую смысл. Осознание своих способностей и возможностей ведет к тому, что учащиеся получают личную оценку о том, что могут добиться успеха в учебной деятельности, что, в свою очередь, повышает самооценку учащегося.  Укрепление веры в собственные силы так же повышает мотивацию к учебной деятельности.</w:t>
      </w:r>
    </w:p>
    <w:p w:rsidR="00490FE4" w:rsidRDefault="00490FE4" w:rsidP="00490FE4">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Формирование мотивации у учащихся позволит решить задачу научить учиться и мыслить вне зависимости от возраста, а так же применять знания на практике.</w:t>
      </w:r>
    </w:p>
    <w:p w:rsidR="00BF083B" w:rsidRDefault="00BF083B"/>
    <w:sectPr w:rsidR="00BF083B" w:rsidSect="00BF0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F30"/>
    <w:multiLevelType w:val="hybridMultilevel"/>
    <w:tmpl w:val="685E6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0FE4"/>
    <w:rsid w:val="00490FE4"/>
    <w:rsid w:val="00BF0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FE4"/>
    <w:pPr>
      <w:ind w:left="720"/>
      <w:contextualSpacing/>
    </w:pPr>
  </w:style>
  <w:style w:type="table" w:styleId="a4">
    <w:name w:val="Table Grid"/>
    <w:basedOn w:val="a1"/>
    <w:uiPriority w:val="59"/>
    <w:rsid w:val="0049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6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2021-05-27T20:15:00Z</dcterms:created>
  <dcterms:modified xsi:type="dcterms:W3CDTF">2021-05-27T20:19:00Z</dcterms:modified>
</cp:coreProperties>
</file>