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02" w:rsidRDefault="00047002" w:rsidP="00047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РС(Я)</w:t>
      </w:r>
    </w:p>
    <w:p w:rsidR="00047002" w:rsidRDefault="00047002" w:rsidP="00047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 РС(Я)</w:t>
      </w:r>
    </w:p>
    <w:p w:rsidR="00047002" w:rsidRDefault="00047002" w:rsidP="00047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«РЕГИОНАЛЬНЫЙ ТЕХНИЧЕСКИЙ КОЛЛЕДЖ В Г.МИРНОМ»</w:t>
      </w:r>
    </w:p>
    <w:p w:rsidR="00047002" w:rsidRDefault="00047002" w:rsidP="00047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«УДАЧНИНСКИЙ»</w:t>
      </w:r>
    </w:p>
    <w:p w:rsidR="00047002" w:rsidRDefault="00047002" w:rsidP="00047002">
      <w:pPr>
        <w:pStyle w:val="af"/>
        <w:rPr>
          <w:b/>
          <w:sz w:val="24"/>
          <w:szCs w:val="24"/>
        </w:rPr>
      </w:pPr>
    </w:p>
    <w:p w:rsidR="00047002" w:rsidRDefault="00047002" w:rsidP="000470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47002" w:rsidRDefault="00047002" w:rsidP="00047002">
      <w:pPr>
        <w:jc w:val="center"/>
        <w:rPr>
          <w:rFonts w:ascii="Times New Roman" w:hAnsi="Times New Roman"/>
        </w:rPr>
      </w:pPr>
    </w:p>
    <w:p w:rsidR="00047002" w:rsidRDefault="00047002" w:rsidP="00047002">
      <w:pPr>
        <w:jc w:val="center"/>
        <w:rPr>
          <w:rFonts w:ascii="Times New Roman" w:hAnsi="Times New Roman"/>
        </w:rPr>
      </w:pPr>
    </w:p>
    <w:p w:rsidR="00047002" w:rsidRDefault="00047002" w:rsidP="00047002">
      <w:pPr>
        <w:jc w:val="center"/>
        <w:rPr>
          <w:rFonts w:ascii="Times New Roman" w:hAnsi="Times New Roman"/>
        </w:rPr>
      </w:pPr>
    </w:p>
    <w:p w:rsidR="00047002" w:rsidRDefault="00047002" w:rsidP="00047002">
      <w:pPr>
        <w:jc w:val="center"/>
        <w:rPr>
          <w:rFonts w:ascii="Times New Roman" w:hAnsi="Times New Roman"/>
        </w:rPr>
      </w:pPr>
    </w:p>
    <w:p w:rsidR="00047002" w:rsidRDefault="00047002" w:rsidP="0004700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ИССЛЕДОВАТЕЛЬСКАЯ РАБОТА</w:t>
      </w:r>
    </w:p>
    <w:p w:rsidR="00047002" w:rsidRPr="00972226" w:rsidRDefault="00047002" w:rsidP="00047002">
      <w:pPr>
        <w:spacing w:line="240" w:lineRule="auto"/>
        <w:jc w:val="center"/>
        <w:rPr>
          <w:rFonts w:ascii="Times New Roman" w:hAnsi="Times New Roman"/>
        </w:rPr>
      </w:pPr>
      <w:r w:rsidRPr="00972226">
        <w:rPr>
          <w:rFonts w:ascii="Times New Roman" w:hAnsi="Times New Roman"/>
          <w:sz w:val="28"/>
        </w:rPr>
        <w:t>по дисциплине «Физика»</w:t>
      </w:r>
    </w:p>
    <w:p w:rsidR="00047002" w:rsidRPr="00972226" w:rsidRDefault="00806F15" w:rsidP="0004700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тему «Современные средства связи</w:t>
      </w:r>
      <w:r w:rsidR="00047002" w:rsidRPr="00972226">
        <w:rPr>
          <w:rFonts w:ascii="Times New Roman" w:hAnsi="Times New Roman"/>
          <w:sz w:val="28"/>
        </w:rPr>
        <w:t xml:space="preserve">»   </w:t>
      </w:r>
    </w:p>
    <w:p w:rsidR="00047002" w:rsidRDefault="00047002" w:rsidP="0004700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047002" w:rsidRDefault="00047002" w:rsidP="0004700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047002" w:rsidRDefault="00047002" w:rsidP="00047002">
      <w:pPr>
        <w:spacing w:line="360" w:lineRule="auto"/>
        <w:rPr>
          <w:rFonts w:ascii="Times New Roman" w:hAnsi="Times New Roman"/>
          <w:b/>
          <w:sz w:val="28"/>
        </w:rPr>
      </w:pPr>
    </w:p>
    <w:p w:rsidR="00047002" w:rsidRDefault="00047002" w:rsidP="00047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Богомолов Александр Владимирович</w:t>
      </w:r>
    </w:p>
    <w:p w:rsidR="00047002" w:rsidRDefault="00047002" w:rsidP="00047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курс, группа Р-19/9у, </w:t>
      </w:r>
    </w:p>
    <w:p w:rsidR="00047002" w:rsidRDefault="00047002" w:rsidP="00047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Ремонтник горного оборудования</w:t>
      </w:r>
    </w:p>
    <w:p w:rsidR="00047002" w:rsidRDefault="00047002" w:rsidP="00047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/>
          <w:sz w:val="24"/>
          <w:szCs w:val="24"/>
        </w:rPr>
        <w:t>Кыдрашева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Чечек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 </w:t>
      </w:r>
    </w:p>
    <w:p w:rsidR="00047002" w:rsidRDefault="00047002" w:rsidP="00047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Преподаватель физики, ГАПОУ РС(Я) «МРТК»</w:t>
      </w:r>
    </w:p>
    <w:p w:rsidR="00047002" w:rsidRDefault="00047002" w:rsidP="00047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/>
          <w:sz w:val="24"/>
          <w:szCs w:val="24"/>
        </w:rPr>
        <w:t>Удачнинский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47002" w:rsidRDefault="00047002" w:rsidP="00047002">
      <w:pPr>
        <w:spacing w:line="360" w:lineRule="auto"/>
        <w:jc w:val="right"/>
        <w:rPr>
          <w:rFonts w:ascii="Times New Roman" w:hAnsi="Times New Roman"/>
        </w:rPr>
      </w:pPr>
    </w:p>
    <w:p w:rsidR="00047002" w:rsidRPr="00A00756" w:rsidRDefault="00047002" w:rsidP="00047002">
      <w:pPr>
        <w:spacing w:line="360" w:lineRule="auto"/>
        <w:jc w:val="right"/>
        <w:rPr>
          <w:rFonts w:ascii="Times New Roman" w:hAnsi="Times New Roman"/>
        </w:rPr>
      </w:pPr>
    </w:p>
    <w:p w:rsidR="00047002" w:rsidRPr="00A00756" w:rsidRDefault="00047002" w:rsidP="00047002">
      <w:pPr>
        <w:spacing w:line="360" w:lineRule="auto"/>
        <w:jc w:val="right"/>
        <w:rPr>
          <w:rFonts w:ascii="Times New Roman" w:hAnsi="Times New Roman"/>
        </w:rPr>
      </w:pPr>
    </w:p>
    <w:p w:rsidR="00047002" w:rsidRPr="00A00756" w:rsidRDefault="00047002" w:rsidP="00047002">
      <w:pPr>
        <w:spacing w:line="360" w:lineRule="auto"/>
        <w:jc w:val="right"/>
        <w:rPr>
          <w:rFonts w:ascii="Times New Roman" w:hAnsi="Times New Roman"/>
        </w:rPr>
      </w:pPr>
    </w:p>
    <w:p w:rsidR="00047002" w:rsidRPr="00A00756" w:rsidRDefault="00047002" w:rsidP="00047002">
      <w:pPr>
        <w:jc w:val="right"/>
        <w:rPr>
          <w:rFonts w:ascii="Times New Roman" w:hAnsi="Times New Roman"/>
        </w:rPr>
      </w:pPr>
    </w:p>
    <w:p w:rsidR="00047002" w:rsidRPr="00A00756" w:rsidRDefault="00047002" w:rsidP="00047002">
      <w:pPr>
        <w:jc w:val="right"/>
        <w:rPr>
          <w:rFonts w:ascii="Times New Roman" w:hAnsi="Times New Roman"/>
        </w:rPr>
      </w:pPr>
    </w:p>
    <w:p w:rsidR="00047002" w:rsidRPr="00A00756" w:rsidRDefault="00047002" w:rsidP="00047002">
      <w:pPr>
        <w:rPr>
          <w:rFonts w:ascii="Times New Roman" w:hAnsi="Times New Roman"/>
        </w:rPr>
      </w:pPr>
    </w:p>
    <w:p w:rsidR="00047002" w:rsidRPr="00A00756" w:rsidRDefault="00047002" w:rsidP="00047002">
      <w:pPr>
        <w:jc w:val="center"/>
        <w:rPr>
          <w:rFonts w:ascii="Times New Roman" w:hAnsi="Times New Roman"/>
          <w:sz w:val="24"/>
          <w:szCs w:val="24"/>
        </w:rPr>
      </w:pPr>
      <w:r w:rsidRPr="00A00756">
        <w:rPr>
          <w:rFonts w:ascii="Times New Roman" w:hAnsi="Times New Roman"/>
          <w:sz w:val="24"/>
          <w:szCs w:val="24"/>
        </w:rPr>
        <w:t>г. Удачный, 2020 г.</w:t>
      </w:r>
    </w:p>
    <w:p w:rsidR="00806F15" w:rsidRDefault="00806F15" w:rsidP="00806F15">
      <w:pPr>
        <w:spacing w:after="0" w:line="360" w:lineRule="auto"/>
        <w:rPr>
          <w:rFonts w:ascii="Times New Roman" w:hAnsi="Times New Roman"/>
          <w:b/>
          <w:bCs/>
          <w:szCs w:val="20"/>
        </w:rPr>
      </w:pPr>
    </w:p>
    <w:p w:rsidR="00A149D8" w:rsidRPr="00F92F40" w:rsidRDefault="00A149D8" w:rsidP="00806F15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2F4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709"/>
      </w:tblGrid>
      <w:tr w:rsidR="00A149D8" w:rsidRPr="00F92F40" w:rsidTr="00690BB6">
        <w:trPr>
          <w:trHeight w:val="523"/>
        </w:trPr>
        <w:tc>
          <w:tcPr>
            <w:tcW w:w="8931" w:type="dxa"/>
            <w:vAlign w:val="center"/>
          </w:tcPr>
          <w:p w:rsidR="00A149D8" w:rsidRPr="00F92F40" w:rsidRDefault="00A149D8" w:rsidP="00806F15">
            <w:pPr>
              <w:spacing w:after="0" w:line="72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</w:t>
            </w:r>
            <w:r w:rsidRPr="00F9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</w:t>
            </w:r>
          </w:p>
        </w:tc>
        <w:tc>
          <w:tcPr>
            <w:tcW w:w="709" w:type="dxa"/>
            <w:vAlign w:val="center"/>
          </w:tcPr>
          <w:p w:rsidR="00A149D8" w:rsidRPr="00F92F40" w:rsidRDefault="003F2114" w:rsidP="00806F15">
            <w:pPr>
              <w:tabs>
                <w:tab w:val="left" w:pos="2278"/>
              </w:tabs>
              <w:spacing w:after="0" w:line="720" w:lineRule="auto"/>
              <w:ind w:left="-724"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645C7" w:rsidRPr="00F92F40" w:rsidTr="00690BB6">
        <w:trPr>
          <w:trHeight w:val="523"/>
        </w:trPr>
        <w:tc>
          <w:tcPr>
            <w:tcW w:w="8931" w:type="dxa"/>
          </w:tcPr>
          <w:p w:rsidR="00A645C7" w:rsidRPr="00A645C7" w:rsidRDefault="00A645C7" w:rsidP="00806F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Беспроводные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709" w:type="dxa"/>
            <w:vAlign w:val="center"/>
          </w:tcPr>
          <w:p w:rsidR="00A645C7" w:rsidRDefault="003F2114" w:rsidP="00806F15">
            <w:pPr>
              <w:tabs>
                <w:tab w:val="left" w:pos="2278"/>
              </w:tabs>
              <w:spacing w:after="0" w:line="720" w:lineRule="auto"/>
              <w:ind w:left="-724"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645C7" w:rsidRPr="00F92F40" w:rsidTr="00690BB6">
        <w:tc>
          <w:tcPr>
            <w:tcW w:w="8931" w:type="dxa"/>
          </w:tcPr>
          <w:p w:rsidR="00A645C7" w:rsidRPr="00A645C7" w:rsidRDefault="00A645C7" w:rsidP="00806F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телефона................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</w:t>
            </w:r>
          </w:p>
        </w:tc>
        <w:tc>
          <w:tcPr>
            <w:tcW w:w="709" w:type="dxa"/>
            <w:vAlign w:val="center"/>
          </w:tcPr>
          <w:p w:rsidR="00A645C7" w:rsidRPr="00F92F40" w:rsidRDefault="00A645C7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645C7" w:rsidRPr="00F92F40" w:rsidTr="00690BB6">
        <w:tc>
          <w:tcPr>
            <w:tcW w:w="8931" w:type="dxa"/>
          </w:tcPr>
          <w:p w:rsidR="00A645C7" w:rsidRPr="00A645C7" w:rsidRDefault="00A645C7" w:rsidP="00806F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станций на здоровье человека..............................</w:t>
            </w:r>
          </w:p>
        </w:tc>
        <w:tc>
          <w:tcPr>
            <w:tcW w:w="709" w:type="dxa"/>
            <w:vAlign w:val="center"/>
          </w:tcPr>
          <w:p w:rsidR="00A645C7" w:rsidRPr="00F92F40" w:rsidRDefault="00A645C7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F2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45C7" w:rsidRPr="00F92F40" w:rsidTr="00690BB6">
        <w:tc>
          <w:tcPr>
            <w:tcW w:w="8931" w:type="dxa"/>
          </w:tcPr>
          <w:p w:rsidR="00A645C7" w:rsidRPr="00A645C7" w:rsidRDefault="00A645C7" w:rsidP="00806F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электромагнитного излучения..........................................</w:t>
            </w:r>
          </w:p>
        </w:tc>
        <w:tc>
          <w:tcPr>
            <w:tcW w:w="709" w:type="dxa"/>
            <w:vAlign w:val="center"/>
          </w:tcPr>
          <w:p w:rsidR="00A645C7" w:rsidRDefault="003F2114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F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645C7" w:rsidRPr="00F92F40" w:rsidTr="00690BB6">
        <w:tc>
          <w:tcPr>
            <w:tcW w:w="8931" w:type="dxa"/>
          </w:tcPr>
          <w:p w:rsidR="00A645C7" w:rsidRPr="001F20AD" w:rsidRDefault="001F20AD" w:rsidP="00806F1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0AD">
              <w:rPr>
                <w:rFonts w:ascii="Times New Roman" w:hAnsi="Times New Roman" w:cs="Times New Roman"/>
                <w:sz w:val="28"/>
                <w:szCs w:val="28"/>
              </w:rPr>
              <w:t>Защита от электромагнитного излучения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709" w:type="dxa"/>
            <w:vAlign w:val="center"/>
          </w:tcPr>
          <w:p w:rsidR="00A645C7" w:rsidRPr="00F92F40" w:rsidRDefault="003F2114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F2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49D8" w:rsidRPr="00F92F40" w:rsidTr="00690BB6">
        <w:tc>
          <w:tcPr>
            <w:tcW w:w="8931" w:type="dxa"/>
          </w:tcPr>
          <w:p w:rsidR="00A149D8" w:rsidRPr="00AC6AF1" w:rsidRDefault="00280D82" w:rsidP="00806F15">
            <w:pPr>
              <w:pStyle w:val="a4"/>
              <w:shd w:val="clear" w:color="auto" w:fill="FFFFFF"/>
              <w:spacing w:after="0" w:line="72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A149D8" w:rsidRDefault="001F20AD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A149D8" w:rsidRPr="00F92F40" w:rsidTr="00690BB6">
        <w:tc>
          <w:tcPr>
            <w:tcW w:w="8931" w:type="dxa"/>
            <w:vAlign w:val="center"/>
          </w:tcPr>
          <w:p w:rsidR="00A149D8" w:rsidRPr="00F92F40" w:rsidRDefault="00280D82" w:rsidP="00806F15">
            <w:pPr>
              <w:spacing w:after="0" w:line="72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Выводы..............................................................................................................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A149D8" w:rsidRPr="00F92F40" w:rsidRDefault="001F20AD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A149D8" w:rsidRPr="00F92F40" w:rsidTr="00690BB6">
        <w:trPr>
          <w:trHeight w:val="697"/>
        </w:trPr>
        <w:tc>
          <w:tcPr>
            <w:tcW w:w="8931" w:type="dxa"/>
            <w:vAlign w:val="center"/>
          </w:tcPr>
          <w:p w:rsidR="00A149D8" w:rsidRPr="00F92F40" w:rsidRDefault="00A149D8" w:rsidP="00806F15">
            <w:pPr>
              <w:spacing w:after="0" w:line="72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</w:t>
            </w:r>
            <w:r w:rsidR="00A64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использованных</w:t>
            </w:r>
            <w:r w:rsidR="00A64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источников……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709" w:type="dxa"/>
            <w:vAlign w:val="center"/>
          </w:tcPr>
          <w:p w:rsidR="00A149D8" w:rsidRPr="00F92F40" w:rsidRDefault="00280D82" w:rsidP="00806F15">
            <w:pPr>
              <w:spacing w:after="0" w:line="720" w:lineRule="auto"/>
              <w:ind w:left="-72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6F15" w:rsidRDefault="00806F15" w:rsidP="00806F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6F15" w:rsidRDefault="00806F15" w:rsidP="00806F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9D8" w:rsidRPr="00F92F40" w:rsidRDefault="00A149D8" w:rsidP="00806F1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A645C7" w:rsidRPr="00A149D8" w:rsidRDefault="00A645C7" w:rsidP="00A645C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устроен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мир,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разума,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расширяющее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создающее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комфорт,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неизбежно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отрицательные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потенциальную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пользователя.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персональной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связи.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несоизмеримо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расширили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свободу,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«отвязав»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телефонного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рабочем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столе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любом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связаться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корреспондентом.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немногие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знают,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«чудеса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техники»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скрывают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опасные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«ловушки».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однажды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ваш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помощник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(скажем,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сотовый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телефон)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превратился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врага,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«ловушки»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изучить.</w:t>
      </w:r>
    </w:p>
    <w:p w:rsidR="000A352E" w:rsidRDefault="00A149D8" w:rsidP="000A35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F4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="003E0374" w:rsidRPr="000A352E">
        <w:rPr>
          <w:rFonts w:ascii="Times New Roman" w:hAnsi="Times New Roman" w:cs="Times New Roman"/>
          <w:sz w:val="28"/>
          <w:szCs w:val="28"/>
        </w:rPr>
        <w:t>Потребность в общении, в передаче и хранении информации возникла и развивалась вместе с развитием человеческого общества.</w:t>
      </w:r>
      <w:r w:rsidR="000A352E">
        <w:rPr>
          <w:rFonts w:ascii="Times New Roman" w:hAnsi="Times New Roman" w:cs="Times New Roman"/>
          <w:sz w:val="28"/>
          <w:szCs w:val="28"/>
        </w:rPr>
        <w:t xml:space="preserve"> </w:t>
      </w:r>
      <w:r w:rsidR="003E0374" w:rsidRPr="000A352E">
        <w:rPr>
          <w:rFonts w:ascii="Times New Roman" w:hAnsi="Times New Roman" w:cs="Times New Roman"/>
          <w:sz w:val="28"/>
          <w:szCs w:val="28"/>
        </w:rPr>
        <w:t xml:space="preserve">Сегодня уже можно утверждать, что </w:t>
      </w:r>
      <w:r w:rsidR="00717D28">
        <w:rPr>
          <w:rFonts w:ascii="Times New Roman" w:hAnsi="Times New Roman" w:cs="Times New Roman"/>
          <w:sz w:val="28"/>
          <w:szCs w:val="28"/>
        </w:rPr>
        <w:t xml:space="preserve">средства связи </w:t>
      </w:r>
      <w:r w:rsidR="003E0374" w:rsidRPr="000A352E">
        <w:rPr>
          <w:rFonts w:ascii="Times New Roman" w:hAnsi="Times New Roman" w:cs="Times New Roman"/>
          <w:sz w:val="28"/>
          <w:szCs w:val="28"/>
        </w:rPr>
        <w:t>является определяющим фактором интеллектуальной, экономической и оборонной возможностей человеческого общества, государства.</w:t>
      </w:r>
      <w:r w:rsidR="000A352E" w:rsidRPr="000A352E">
        <w:rPr>
          <w:rFonts w:ascii="Times New Roman" w:hAnsi="Times New Roman" w:cs="Times New Roman"/>
          <w:sz w:val="28"/>
          <w:szCs w:val="28"/>
        </w:rPr>
        <w:t xml:space="preserve"> </w:t>
      </w:r>
      <w:r w:rsidR="00717D28">
        <w:rPr>
          <w:rFonts w:ascii="Times New Roman" w:hAnsi="Times New Roman" w:cs="Times New Roman"/>
          <w:sz w:val="28"/>
          <w:szCs w:val="28"/>
        </w:rPr>
        <w:t>Средства</w:t>
      </w:r>
      <w:r w:rsidR="003E0374" w:rsidRPr="000A352E">
        <w:rPr>
          <w:rFonts w:ascii="Times New Roman" w:hAnsi="Times New Roman" w:cs="Times New Roman"/>
          <w:sz w:val="28"/>
          <w:szCs w:val="28"/>
        </w:rPr>
        <w:t xml:space="preserve"> свя</w:t>
      </w:r>
      <w:r w:rsidR="00717D28">
        <w:rPr>
          <w:rFonts w:ascii="Times New Roman" w:hAnsi="Times New Roman" w:cs="Times New Roman"/>
          <w:sz w:val="28"/>
          <w:szCs w:val="28"/>
        </w:rPr>
        <w:t xml:space="preserve">зи </w:t>
      </w:r>
      <w:r w:rsidR="003E0374" w:rsidRPr="000A352E">
        <w:rPr>
          <w:rFonts w:ascii="Times New Roman" w:hAnsi="Times New Roman" w:cs="Times New Roman"/>
          <w:sz w:val="28"/>
          <w:szCs w:val="28"/>
        </w:rPr>
        <w:t>непрерывно совершенств</w:t>
      </w:r>
      <w:r w:rsidR="00717D28">
        <w:rPr>
          <w:rFonts w:ascii="Times New Roman" w:hAnsi="Times New Roman" w:cs="Times New Roman"/>
          <w:sz w:val="28"/>
          <w:szCs w:val="28"/>
        </w:rPr>
        <w:t>уются</w:t>
      </w:r>
      <w:r w:rsidR="003E0374" w:rsidRPr="000A352E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условий жизни,</w:t>
      </w:r>
      <w:r w:rsidR="000A352E" w:rsidRPr="000A352E">
        <w:rPr>
          <w:rFonts w:ascii="Times New Roman" w:hAnsi="Times New Roman" w:cs="Times New Roman"/>
          <w:sz w:val="28"/>
          <w:szCs w:val="28"/>
        </w:rPr>
        <w:t xml:space="preserve"> </w:t>
      </w:r>
      <w:r w:rsidR="003E0374" w:rsidRPr="000A352E">
        <w:rPr>
          <w:rFonts w:ascii="Times New Roman" w:hAnsi="Times New Roman" w:cs="Times New Roman"/>
          <w:sz w:val="28"/>
          <w:szCs w:val="28"/>
        </w:rPr>
        <w:t>с развитием культуры и техники.</w:t>
      </w:r>
    </w:p>
    <w:p w:rsidR="003E0374" w:rsidRPr="000A352E" w:rsidRDefault="000A352E" w:rsidP="000A35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52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149D8" w:rsidRPr="007B78F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A149D8">
        <w:rPr>
          <w:rFonts w:ascii="Times New Roman" w:hAnsi="Times New Roman" w:cs="Times New Roman"/>
          <w:sz w:val="28"/>
          <w:szCs w:val="28"/>
        </w:rPr>
        <w:t>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данной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рассмотрим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основные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проблемы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здоровья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жизнедеятельности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человека,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связанные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использованием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современных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средств</w:t>
      </w:r>
      <w:r w:rsidR="003E037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0374" w:rsidRPr="00A149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связи.</w:t>
      </w:r>
    </w:p>
    <w:p w:rsidR="00A149D8" w:rsidRPr="007B78FC" w:rsidRDefault="00A149D8" w:rsidP="00A14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3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Задачи</w:t>
      </w:r>
      <w:r w:rsidR="00A645C7" w:rsidRPr="000A3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0A352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исследования</w:t>
      </w:r>
      <w:r w:rsidRPr="007B78F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64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49D8" w:rsidRPr="00D6158A" w:rsidRDefault="000A352E" w:rsidP="00A149D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виды средств связи</w:t>
      </w:r>
      <w:r w:rsidR="00A149D8" w:rsidRPr="00D6158A">
        <w:rPr>
          <w:rFonts w:ascii="Times New Roman" w:hAnsi="Times New Roman" w:cs="Times New Roman"/>
          <w:sz w:val="28"/>
          <w:szCs w:val="28"/>
        </w:rPr>
        <w:t>;</w:t>
      </w:r>
    </w:p>
    <w:p w:rsidR="00A149D8" w:rsidRPr="00D6158A" w:rsidRDefault="000A352E" w:rsidP="00A149D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значение средств связи для человека</w:t>
      </w:r>
      <w:r w:rsidR="00A149D8" w:rsidRPr="00D6158A">
        <w:rPr>
          <w:rFonts w:ascii="Times New Roman" w:hAnsi="Times New Roman" w:cs="Times New Roman"/>
          <w:sz w:val="28"/>
          <w:szCs w:val="28"/>
        </w:rPr>
        <w:t>;</w:t>
      </w:r>
    </w:p>
    <w:p w:rsidR="00A149D8" w:rsidRPr="00D6158A" w:rsidRDefault="000A352E" w:rsidP="00A149D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положительные и отрицательные черты средств связи.</w:t>
      </w:r>
    </w:p>
    <w:p w:rsidR="00A149D8" w:rsidRPr="00F92F40" w:rsidRDefault="00A149D8" w:rsidP="00A149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352E">
        <w:rPr>
          <w:rStyle w:val="a5"/>
          <w:b/>
          <w:i w:val="0"/>
          <w:color w:val="000000" w:themeColor="text1"/>
          <w:sz w:val="28"/>
          <w:szCs w:val="28"/>
        </w:rPr>
        <w:t>Объект</w:t>
      </w:r>
      <w:r w:rsidR="00A645C7" w:rsidRPr="000A352E">
        <w:rPr>
          <w:rStyle w:val="a5"/>
          <w:b/>
          <w:i w:val="0"/>
          <w:color w:val="000000" w:themeColor="text1"/>
          <w:sz w:val="28"/>
          <w:szCs w:val="28"/>
        </w:rPr>
        <w:t xml:space="preserve"> </w:t>
      </w:r>
      <w:r w:rsidRPr="000A352E">
        <w:rPr>
          <w:rStyle w:val="a5"/>
          <w:b/>
          <w:i w:val="0"/>
          <w:color w:val="000000" w:themeColor="text1"/>
          <w:sz w:val="28"/>
          <w:szCs w:val="28"/>
        </w:rPr>
        <w:t>исследования:</w:t>
      </w:r>
      <w:r w:rsidR="00A645C7">
        <w:rPr>
          <w:rStyle w:val="a5"/>
          <w:color w:val="000000" w:themeColor="text1"/>
          <w:sz w:val="28"/>
          <w:szCs w:val="28"/>
        </w:rPr>
        <w:t xml:space="preserve"> </w:t>
      </w:r>
      <w:r w:rsidR="000A352E">
        <w:rPr>
          <w:color w:val="000000" w:themeColor="text1"/>
          <w:sz w:val="28"/>
          <w:szCs w:val="28"/>
        </w:rPr>
        <w:t>средства связи</w:t>
      </w:r>
      <w:r>
        <w:rPr>
          <w:color w:val="000000" w:themeColor="text1"/>
          <w:sz w:val="28"/>
          <w:szCs w:val="28"/>
        </w:rPr>
        <w:t>.</w:t>
      </w:r>
      <w:r w:rsidR="00A645C7">
        <w:rPr>
          <w:color w:val="000000" w:themeColor="text1"/>
          <w:sz w:val="28"/>
          <w:szCs w:val="28"/>
        </w:rPr>
        <w:t xml:space="preserve"> </w:t>
      </w:r>
    </w:p>
    <w:p w:rsidR="00A149D8" w:rsidRPr="00F92F40" w:rsidRDefault="00A149D8" w:rsidP="00A149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2F40">
        <w:rPr>
          <w:b/>
          <w:color w:val="000000" w:themeColor="text1"/>
          <w:sz w:val="28"/>
          <w:szCs w:val="28"/>
        </w:rPr>
        <w:t>Предмет</w:t>
      </w:r>
      <w:r w:rsidR="00A645C7">
        <w:rPr>
          <w:b/>
          <w:color w:val="000000" w:themeColor="text1"/>
          <w:sz w:val="28"/>
          <w:szCs w:val="28"/>
        </w:rPr>
        <w:t xml:space="preserve"> </w:t>
      </w:r>
      <w:r w:rsidRPr="00F92F40">
        <w:rPr>
          <w:b/>
          <w:color w:val="000000" w:themeColor="text1"/>
          <w:sz w:val="28"/>
          <w:szCs w:val="28"/>
        </w:rPr>
        <w:t>исследования:</w:t>
      </w:r>
      <w:r w:rsidR="00A645C7">
        <w:rPr>
          <w:color w:val="000000" w:themeColor="text1"/>
          <w:sz w:val="28"/>
          <w:szCs w:val="28"/>
        </w:rPr>
        <w:t xml:space="preserve"> </w:t>
      </w:r>
      <w:r w:rsidR="000A352E">
        <w:rPr>
          <w:color w:val="000000" w:themeColor="text1"/>
          <w:sz w:val="28"/>
          <w:szCs w:val="28"/>
        </w:rPr>
        <w:t>значение средств связи в жизни каждого человека.</w:t>
      </w:r>
      <w:r w:rsidR="00A645C7">
        <w:rPr>
          <w:color w:val="000000" w:themeColor="text1"/>
          <w:sz w:val="28"/>
          <w:szCs w:val="28"/>
        </w:rPr>
        <w:t xml:space="preserve"> </w:t>
      </w:r>
    </w:p>
    <w:p w:rsidR="00A149D8" w:rsidRPr="00A645C7" w:rsidRDefault="00A149D8" w:rsidP="00A645C7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16118154"/>
      <w:r w:rsidRPr="00A645C7">
        <w:rPr>
          <w:rFonts w:ascii="Times New Roman" w:hAnsi="Times New Roman" w:cs="Times New Roman"/>
          <w:b/>
          <w:sz w:val="28"/>
          <w:szCs w:val="28"/>
        </w:rPr>
        <w:t>Беспроводные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связи</w:t>
      </w:r>
      <w:bookmarkEnd w:id="1"/>
      <w:r w:rsidR="00A645C7" w:rsidRPr="00A645C7">
        <w:rPr>
          <w:rFonts w:ascii="Times New Roman" w:hAnsi="Times New Roman" w:cs="Times New Roman"/>
          <w:b/>
          <w:sz w:val="28"/>
          <w:szCs w:val="28"/>
        </w:rPr>
        <w:t>.</w:t>
      </w:r>
    </w:p>
    <w:p w:rsidR="00A645C7" w:rsidRPr="00A645C7" w:rsidRDefault="00A645C7" w:rsidP="00A645C7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Чтобы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лучше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понять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проблемы,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связанные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использованием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беспроводных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средств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давайте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вспомним,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средства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себя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представляют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работают.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lastRenderedPageBreak/>
        <w:t>Современные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беспроводные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средства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персональной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включают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себя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пейджеры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беспроводные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стационарные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радиотелефоны.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Мобильные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фактически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сложной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миниатюрной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приемо-передающей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радиостанцией.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телефонному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присваивается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серийный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номер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(ESN),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кодируется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микрочипе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изготовлении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сообщается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изготовителями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аппаратуры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специалистам,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осуществляющим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обслуживание.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Кроме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того,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некоторые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изготовители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указывают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номер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руководстве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подключении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техники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компании,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предоставляющей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услуги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дополнительно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заносят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микрочип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еще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номер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(MIN).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имеет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большую,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иногда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неограниченную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дальность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действия,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обеспечивает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структура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территория,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обслуживаемая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разделена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отдельные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прилегающие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сотые.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обмен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управляется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станцией,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принимать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количестве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радиочастот.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Кроме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того,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подключена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обычной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проводной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оснащена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аппаратурой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преобразования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высокочастотного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низкочастотный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проводного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наоборот,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обеспечивается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сопряжение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Периодически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интервалом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30-60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минут)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служебный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Приняв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автоматически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добавляет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MIN-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ESN-номера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получившуюся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кодовую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комбинацию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станцию.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результате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осуществляется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идентификация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конкретного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номера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счета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владельца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привязка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определенной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находится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момент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звонит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своему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выделяет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свободных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находится,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вносит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соответствующие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счет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назначению.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Если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разговора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перемещается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другую,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покидаемой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автоматически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переводит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свободную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Пейджеры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представляют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собой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радиоприемники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устройством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регистрации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сообщений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буквенном,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цифровом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смешанном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представлении,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работающие,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основном,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100-400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МГц.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пейджинговой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принимает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сообщение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абонента,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кодирует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нужный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формат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пейджер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вызываемого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абонента.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Стационарный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беспроводный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объединяет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себе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обычный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проводной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представленный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подключенным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приемо-передающее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радиоустройство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виде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трубки,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обеспечивающей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двусторонний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обмен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аппаратом.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зависимости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типа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радиотелефона,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дальность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между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трубкой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аппаратом,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наличия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</w:t>
      </w:r>
      <w:r w:rsidR="005156DA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отражающих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поверхностей,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составляет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среднем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50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метров.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Проблема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безопасности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средствами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персональной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беспроводной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имеет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два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аспекта: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физическая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безопасность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безопасность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информации,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передаваемой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помощью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устройств.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Здесь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сразу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следует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оговориться,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угрозу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физической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безопасности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создает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только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пейджеры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стационарные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радиотелефоны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неизлучающими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слабо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излучающими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устройствами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характеризуются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отличными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условиями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порядком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A645C7" w:rsidRDefault="00A645C7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16118155"/>
    </w:p>
    <w:p w:rsidR="00A149D8" w:rsidRPr="00A645C7" w:rsidRDefault="00A149D8" w:rsidP="00A64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C7">
        <w:rPr>
          <w:rFonts w:ascii="Times New Roman" w:hAnsi="Times New Roman" w:cs="Times New Roman"/>
          <w:b/>
          <w:sz w:val="28"/>
          <w:szCs w:val="28"/>
        </w:rPr>
        <w:t>2.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на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b/>
          <w:sz w:val="28"/>
          <w:szCs w:val="28"/>
        </w:rPr>
        <w:t>телефона</w:t>
      </w:r>
      <w:bookmarkEnd w:id="2"/>
      <w:r w:rsidR="00A645C7">
        <w:rPr>
          <w:rFonts w:ascii="Times New Roman" w:hAnsi="Times New Roman" w:cs="Times New Roman"/>
          <w:b/>
          <w:sz w:val="28"/>
          <w:szCs w:val="28"/>
        </w:rPr>
        <w:t>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Сегодня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приходится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вздрагивать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появляющихся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завидной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периодичностью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сообщений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утихают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десять,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причем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научное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исследование,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доказывающее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появляется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опровержение,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подготовленное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менее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авторитетными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учеными.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Среди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обвинений,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предъявляемых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устройствам,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создающим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наиболее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страшным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обвинение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канцерогенности</w:t>
      </w:r>
      <w:r w:rsidRPr="00A645C7">
        <w:rPr>
          <w:rFonts w:ascii="Times New Roman" w:hAnsi="Times New Roman" w:cs="Times New Roman"/>
          <w:sz w:val="28"/>
          <w:szCs w:val="28"/>
        </w:rPr>
        <w:t>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официальные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обнародованные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опровергают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обвинения.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Данные,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опубликованные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Королевским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научным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обществом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Канады,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американским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Фондом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Британской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независимой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экспертной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группой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содержат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одинаковые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разговоры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какие-либо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все-таки,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несмотря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подавляющее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большинство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оптимистических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выводов,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некоторые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исследователи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теряют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надежду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"уличить"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грехах.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недавно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венгерский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Фейес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Университета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обследовав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221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добровольца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протяжении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13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месяцев,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обнаружил,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30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процентов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ухудшить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качество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значит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эффективность)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спермы.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обязательно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говорить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нему,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достаточно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просто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носить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собой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"удобном"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месте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кармане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брюк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ремне.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сотрудники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Института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высшей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нервной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деятельности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нейрофизиологии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Российской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Академии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наук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недавно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обнаружили,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работающий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режиме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ожидания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мобильник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сократить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расстроить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важные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фазы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ночного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отдыха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быстрый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медленный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сон.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Помимо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предполагается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также,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несут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косвенную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опасность,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например,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строя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навигационные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приборы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самолетов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способствовать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пожарам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автозаправочных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станциях.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хотя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никаких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объективных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разговаривать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полетов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заправках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всякий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запрещено.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lastRenderedPageBreak/>
        <w:t>Радиоволны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изменяют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пришли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работающие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над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проектом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цель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человеческий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ходе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проекта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названием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двенадцать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групп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европейских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стран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протяжении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четырех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изучали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животных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координировалось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немецкой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группой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Verum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почти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полностью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финансировалось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Европейским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союзом.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сообщает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несмотря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лабораторных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условиях,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смогли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однозначно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доказать,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угрожают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реальной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жизни.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считают,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подобных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заключений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необходимы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дальнейшие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лаборатории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животных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людях-добровольцах.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отчете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проекта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рекомендуется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лишь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острой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необходимости,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особенно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касается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детей.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хотим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устраивать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панику,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предосторожности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помешают»,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заявил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Фракц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Адлкофер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Franz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Adlkofer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),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руководитель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проекта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словам,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конкретны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окончательным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выводам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прийти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через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4–5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лет.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очередь,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представители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Ассоциации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операторов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считают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результаты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предварительными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требующими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независимого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подтверждения,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сообщает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ВВС.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один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шести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ведущих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производителей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результаты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Ученые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экспериментах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пределах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называемого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удельного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коэффициента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поглощения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Absorption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(SAR))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между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0,3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ватт/кг.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Большинство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SAR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0,5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ватт/кг,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ватт/кг.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лабораторных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условиях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вызвало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серьезные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носителя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генетической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информации.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заболеваниям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если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повреждены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половые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рождению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неполноценных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детей.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нарушениями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структуры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начало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доброкачественной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злокачественной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опухоли.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существует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механизм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репарации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(устранения)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срабатывает.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нарушениями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уничтожаются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иммунной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системой,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происходит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всегда.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ходе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многих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клетки-мутанты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передавали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приобретенные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свойства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следующему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поколению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клеток.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Сегодня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мире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насчитывается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1,5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млрд.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Лишь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прогнозам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аналитиков,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будет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продано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650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млн.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трубок.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достижение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прогресса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ведутся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лет.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Представители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компаний-производителей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объем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рынка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оценивается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$100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млрд.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рьяно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отстаивают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позицию,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утверждая,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никаких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научных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доказательств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утверждают: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лишь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«страшилки»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совсем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опасна.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Финн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Тахванайнен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измерил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пульс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давление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32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35-минутной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беседы.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никаких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проблем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заметил!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Итальянец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Калабрезе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обнаружил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память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познавательные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52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добровольцев.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«Мы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множество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опытов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крысах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обезьянах.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детенышах,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беременных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самках.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обнаружили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развитие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мозга,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центральной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нервной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развитие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потомства,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биохимию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крови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поведение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животных!»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уверен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Майкл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Свикорд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сотрудник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научной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лаборатории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компании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«Моторола»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Калифорнии.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Правда,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странному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совпадению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большинство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оплачено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фондов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производителей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трубок.</w:t>
      </w:r>
    </w:p>
    <w:p w:rsidR="00A149D8" w:rsidRPr="00A645C7" w:rsidRDefault="00A645C7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D8" w:rsidRPr="00A645C7" w:rsidRDefault="00A645C7" w:rsidP="00A64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Влияние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базовых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станций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на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последнее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мире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смолкают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дискуссии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оказывает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ничего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опасаться.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известно,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проблема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была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затронута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Думе.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Всемирная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Организация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Здравоохранения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(ВОЗ)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учредила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специальный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Международный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проект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изучению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(ЭМП)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особенности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специалистов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интересуют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радиочастотного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(РП),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создаются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терминалами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(БС)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известно,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интенсивность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РП-сигнала,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передаваемого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аналогична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телевизионному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сигналам,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РП-сигналу,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производимому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телефоном.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настоящего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отсутствуют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достоверные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подтверждения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длительное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БС,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вызывают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какие-либо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состоянии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людей.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последних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8-ми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всячески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стимулировала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области.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научной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публикации,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результатах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отмечено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свидетельств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Сотовая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обеспечивается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радиопередающими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радиотелефонами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пользователей-абонентов.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установленных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месте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имеются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передающие,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приёмные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источниками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Исходя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технологических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требований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построения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диаграмма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направленности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вертикальной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плоскости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рассчитана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образом,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основная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энергия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90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%)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сосредоточена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довольно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узком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луче.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направлен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сторону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сооружений,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находятся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БС,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выше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прилегающих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построек,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необходимым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условием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нормального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системы.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lastRenderedPageBreak/>
        <w:t>Несмотря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установлено,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целью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порекомендовать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пользователям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соблюдать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некоторые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разговаривать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трёх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четырёх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минут;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допускать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детьми;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выбирать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меньшей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ФГУЗ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«Центр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гигиены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эпидемиологии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Республике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Мордовия»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постоянно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контролирует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передающих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населения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путём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регулярных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инструментальных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Показатели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нормируются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Санитарными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правилами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нормами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A645C7">
        <w:rPr>
          <w:rFonts w:ascii="Times New Roman" w:hAnsi="Times New Roman" w:cs="Times New Roman"/>
          <w:sz w:val="28"/>
          <w:szCs w:val="28"/>
        </w:rPr>
        <w:t>8./</w:t>
      </w:r>
      <w:proofErr w:type="gram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2.2.4.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1190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«Гигиенические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требования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размещению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эксплуатации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средств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сухопутной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подвижной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радиосвязи».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2006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обследовано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вводе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эксплуатацию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действующих)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110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проведено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1978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измерений.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превышения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допустимого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выявлено.</w:t>
      </w:r>
    </w:p>
    <w:p w:rsidR="00A149D8" w:rsidRPr="00A645C7" w:rsidRDefault="00A645C7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D8" w:rsidRPr="00A645C7" w:rsidRDefault="00A645C7" w:rsidP="00A64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C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электромагнитного</w:t>
      </w:r>
      <w:r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излучения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устройством,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несет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потенциальную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вашего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Паниковать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причины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стоит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возможности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оградить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себя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потенциальных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проблем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Ведь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отличается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мира,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изучать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делать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выводы.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Лобби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производителей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трудно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недооценить.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Гигантский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финансовый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конвейер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запущен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остановить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невозможно.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Обратите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внимание,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табачная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индустрия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имеет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оборот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существенно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меньше,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индустрия,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курения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очевиден,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финансовый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механизм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работает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сбоев.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Поэтому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разговоры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законодательном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снижении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«вредного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политический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блеф.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конце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прошлого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было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проведено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важное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Европейского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союза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показали,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SAR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0,3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ватт/кг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повреждает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ДНК.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Переоценить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очень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сложно.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эксперимент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проходил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протяжение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4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лет.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лобби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индустрии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буквально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растоптали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результаты.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Аргументы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были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примитивные.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Купленные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«мобильные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ученые»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заявили,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полученные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вытекают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только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лабораторных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показаний.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реальной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жизни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якобы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обстоит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по-другому.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Проповедники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сомнительной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доктрины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победили.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Медики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заявляют,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разговоры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приводят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усталости,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раздражительности,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головокружению,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бессоннице,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тошноте,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раздражению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кожи,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нарушениям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функций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мужчин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женщин,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5C7">
        <w:rPr>
          <w:rFonts w:ascii="Times New Roman" w:hAnsi="Times New Roman" w:cs="Times New Roman"/>
          <w:sz w:val="28"/>
          <w:szCs w:val="28"/>
        </w:rPr>
        <w:t>так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раку.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Европейские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врачи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уверены,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15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заболеваний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следствие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телефонии.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малогабаритной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радиостанцией,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излучающей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волны.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Волны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любые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материалы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органику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неорганику.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Физическая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медицина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давно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обратила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внимание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волн.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Выявлены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многие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закономерности,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подавляющем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большинстве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случаев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говорить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однозначном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особенно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речь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заходит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высоких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частотах.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Известно,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выше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МГц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разогревает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(эффект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микроволновой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печи).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Человеческие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очень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болезненно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относятся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процессу.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Безусловно,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носит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вероятностный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характер.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численно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оценить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никто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Разумеется,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зависимость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строится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облучения,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вида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тканей,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чреват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перегрев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тканей?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Прежде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разрушение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белков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клетках.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носить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неожиданный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характер.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превращаться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раковые.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Возможно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возникновение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доброкачественных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опухолей,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отмирание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клеток,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«самолечение»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5C7">
        <w:rPr>
          <w:rFonts w:ascii="Times New Roman" w:hAnsi="Times New Roman" w:cs="Times New Roman"/>
          <w:sz w:val="28"/>
          <w:szCs w:val="28"/>
        </w:rPr>
        <w:t>т.д.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A645C7">
        <w:rPr>
          <w:rFonts w:ascii="Times New Roman" w:hAnsi="Times New Roman" w:cs="Times New Roman"/>
          <w:sz w:val="28"/>
          <w:szCs w:val="28"/>
        </w:rPr>
        <w:t>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перегрев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вреден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организма.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речь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заходит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имеют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собственный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потенциал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терморегуляции,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защищает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определенной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планки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греть.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Однако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подчеркиваем,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процессы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мутациям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носят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вероятностный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характер.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Второй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доподлинно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известный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факт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говорит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воздействуют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нервную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Механизм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процесса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прост.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нарушают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проницаемость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клеточных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мембран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кальция.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результате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нервная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начинает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неправильно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функционировать.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Проводилось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множество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экспериментов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собаках,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становились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нервными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возбудимыми.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Человеческий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откликается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абсолютно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Германские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медики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продемонстрировали,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людей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вызывает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депрессию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наоборот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взрывы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настроении.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говорит,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отклик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очень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индивидуален.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Производители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планомерно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поднимают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мобильников.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Трубки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начинают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1800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МГц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1900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МГц.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сантиметровом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распространение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волн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становятся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непредсказуемым.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достигает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нашего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«греет»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волны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начинают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человеческого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организма.</w:t>
      </w:r>
    </w:p>
    <w:p w:rsidR="00A149D8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Согласно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существующим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России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допустимым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уровням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(ПП)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пользователей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должна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превышать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100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мкВт/см2.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Необходимо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отметить,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природных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условиях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значение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высокочастотного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исчезающе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составляет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лишь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нВт/см2.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54"/>
        <w:gridCol w:w="1141"/>
        <w:gridCol w:w="2581"/>
        <w:gridCol w:w="1332"/>
        <w:gridCol w:w="542"/>
        <w:gridCol w:w="1521"/>
      </w:tblGrid>
      <w:tr w:rsidR="00A645C7" w:rsidRPr="00A645C7" w:rsidTr="005156DA">
        <w:trPr>
          <w:trHeight w:val="492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ПП,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мкВт/см2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Эффект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Мобильный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Превышение</w:t>
            </w:r>
          </w:p>
        </w:tc>
      </w:tr>
      <w:tr w:rsidR="00A645C7" w:rsidRPr="00A645C7" w:rsidTr="005156DA">
        <w:trPr>
          <w:trHeight w:val="334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Резонанс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Шумана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0,0000001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Воздействие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на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мозг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25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900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-</w:t>
            </w:r>
          </w:p>
        </w:tc>
      </w:tr>
      <w:tr w:rsidR="00A645C7" w:rsidRPr="00A645C7" w:rsidTr="005156DA">
        <w:trPr>
          <w:trHeight w:val="590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lastRenderedPageBreak/>
              <w:t>Естественный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электромагнитный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2500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90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раз</w:t>
            </w:r>
          </w:p>
        </w:tc>
      </w:tr>
      <w:tr w:rsidR="00A645C7" w:rsidRPr="00A645C7" w:rsidTr="005156DA">
        <w:trPr>
          <w:trHeight w:val="791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proofErr w:type="spellStart"/>
            <w:r w:rsidRPr="00A645C7">
              <w:rPr>
                <w:rFonts w:ascii="Times New Roman" w:hAnsi="Times New Roman" w:cs="Times New Roman"/>
              </w:rPr>
              <w:t>Техногенноизмененный</w:t>
            </w:r>
            <w:proofErr w:type="spellEnd"/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фон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(среднее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значение)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Изменение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уровня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мелатонина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в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мозгу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человека,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изменение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электроэнцефалограммы,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обратимые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повреждения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ДНК.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25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900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100000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раз</w:t>
            </w:r>
          </w:p>
        </w:tc>
      </w:tr>
      <w:tr w:rsidR="00A645C7" w:rsidRPr="00A645C7" w:rsidTr="005156DA">
        <w:trPr>
          <w:trHeight w:val="573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Нормируемое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значение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ПП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от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радиотелефонов.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Способен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вызывать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лейкоз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у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детей.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5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180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20000000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раз</w:t>
            </w:r>
          </w:p>
        </w:tc>
      </w:tr>
      <w:tr w:rsidR="00A645C7" w:rsidRPr="00A645C7" w:rsidTr="005156DA">
        <w:trPr>
          <w:trHeight w:val="953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Нормируемое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значение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ПП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от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базовых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станций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(БС)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сотовой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связи.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Необратимые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повреждения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ДНК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0.8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30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100000000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раз</w:t>
            </w:r>
          </w:p>
        </w:tc>
      </w:tr>
      <w:tr w:rsidR="00A645C7" w:rsidRPr="00A645C7" w:rsidTr="005156DA">
        <w:trPr>
          <w:trHeight w:val="871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Нормируемое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значение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ПП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от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сотовых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телефонов.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В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течение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2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минут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изменяет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проницаемость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гематоэнцефалического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барьера.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25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9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1000000000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раз</w:t>
            </w:r>
          </w:p>
        </w:tc>
      </w:tr>
      <w:tr w:rsidR="00A645C7" w:rsidRPr="00A645C7" w:rsidTr="005156DA">
        <w:trPr>
          <w:trHeight w:val="307"/>
        </w:trPr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Термический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эффект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Неконтролируемая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гибель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клеток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0.25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jc w:val="center"/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9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hideMark/>
          </w:tcPr>
          <w:p w:rsidR="00A149D8" w:rsidRPr="00A645C7" w:rsidRDefault="00A149D8" w:rsidP="00A645C7">
            <w:pPr>
              <w:rPr>
                <w:rFonts w:ascii="Times New Roman" w:hAnsi="Times New Roman" w:cs="Times New Roman"/>
              </w:rPr>
            </w:pPr>
            <w:r w:rsidRPr="00A645C7">
              <w:rPr>
                <w:rFonts w:ascii="Times New Roman" w:hAnsi="Times New Roman" w:cs="Times New Roman"/>
              </w:rPr>
              <w:t>100000000000</w:t>
            </w:r>
            <w:r w:rsidR="00A645C7">
              <w:rPr>
                <w:rFonts w:ascii="Times New Roman" w:hAnsi="Times New Roman" w:cs="Times New Roman"/>
              </w:rPr>
              <w:t xml:space="preserve"> </w:t>
            </w:r>
            <w:r w:rsidRPr="00A645C7">
              <w:rPr>
                <w:rFonts w:ascii="Times New Roman" w:hAnsi="Times New Roman" w:cs="Times New Roman"/>
              </w:rPr>
              <w:t>раз</w:t>
            </w:r>
          </w:p>
        </w:tc>
      </w:tr>
    </w:tbl>
    <w:p w:rsidR="00A645C7" w:rsidRDefault="00A645C7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наибольшую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сеансов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максимальная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установления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наверно,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слушали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помехи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навести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ваш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акустику.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адаптивно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меняет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зависимости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условий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приёма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плохом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повышает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передатчика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максимума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городе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0,6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Ватта,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области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Ватт),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хорошем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приеме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снижает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минимума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-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0,01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шкале).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заметить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скорости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разряда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аккумулятора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Излучаемая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репитера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большая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~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обычного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квартирного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радиотелефона,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кроме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того,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делится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несколько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(~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25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мВт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антенну),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находятся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достаточно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далеко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абонентов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(2-10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м).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убывает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обратно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пропорционально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квадрату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расстояния,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образом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излучаемая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антенны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ретранслятора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ничтожно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мала.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Сотовый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находится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головы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абонента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пределах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2-3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минимуме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0,01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Вт,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поскольку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ретранслятор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обеспечивает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хороший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(полную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шкалу).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062DD8" wp14:editId="4F199A26">
            <wp:extent cx="2743200" cy="2249805"/>
            <wp:effectExtent l="0" t="0" r="0" b="0"/>
            <wp:docPr id="1" name="Рисунок 1" descr="Излучение сотового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лучение сотового теле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Таким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образом,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ретранслятора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(репитера)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помещении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плохим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сигнала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снижает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60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(!)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5,5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раз.</w:t>
      </w:r>
    </w:p>
    <w:p w:rsidR="00A645C7" w:rsidRDefault="00A645C7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16118159"/>
    </w:p>
    <w:p w:rsidR="00A149D8" w:rsidRPr="00A645C7" w:rsidRDefault="001F20AD" w:rsidP="00A64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216118161"/>
      <w:bookmarkEnd w:id="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.</w:t>
      </w:r>
      <w:r w:rsidR="00A645C7"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Защита</w:t>
      </w:r>
      <w:r w:rsidR="00A645C7"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от</w:t>
      </w:r>
      <w:r w:rsidR="00A645C7"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электромагнитного</w:t>
      </w:r>
      <w:r w:rsidR="00A645C7" w:rsidRPr="00A6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D8" w:rsidRPr="00A645C7">
        <w:rPr>
          <w:rFonts w:ascii="Times New Roman" w:hAnsi="Times New Roman" w:cs="Times New Roman"/>
          <w:b/>
          <w:sz w:val="28"/>
          <w:szCs w:val="28"/>
        </w:rPr>
        <w:t>излучения</w:t>
      </w:r>
      <w:bookmarkEnd w:id="4"/>
      <w:r w:rsidR="00A645C7">
        <w:rPr>
          <w:rFonts w:ascii="Times New Roman" w:hAnsi="Times New Roman" w:cs="Times New Roman"/>
          <w:b/>
          <w:sz w:val="28"/>
          <w:szCs w:val="28"/>
        </w:rPr>
        <w:t>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Организационные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мероприятия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организационным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мероприятиям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относятся: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выбор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режимов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излучающего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оборудования,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обеспечивающего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уровень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превышающий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допустимый,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ограничение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места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нахождения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(защита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расстоянием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временем),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обозначение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ограждение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повышенным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Защита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применяется,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когда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возможности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снизить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интенсивность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точке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допустимого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действующих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предусмотрена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зависимость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между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интенсивностью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энергии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облучения.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Защита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расстоянием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основывается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падении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интенсивности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обратно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пропорционально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квадрату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расстояния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применяется,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если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невозможно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ослабить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мерами,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числе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временем.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расстоянием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положена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основу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нормирования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определения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необходимого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разрыва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между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источниками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жилыми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домами,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служебными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помещениями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т.п.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установки,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излучающей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энергию,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должны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определяться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5C7">
        <w:rPr>
          <w:rFonts w:ascii="Times New Roman" w:hAnsi="Times New Roman" w:cs="Times New Roman"/>
          <w:sz w:val="28"/>
          <w:szCs w:val="28"/>
        </w:rPr>
        <w:t>санитарно-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защитные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которых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интенсивность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превышает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ПДУ.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Границы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определяются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конкретного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размещения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излучающей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работе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максимальную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контролируются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помощью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приборов.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соответствии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ГОСТ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12.1.026-80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ограждаются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устанавливаются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предупреждающие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знаки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надписями: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входить,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опасно!».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Инженерно-технические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мероприятия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строятся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явления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экранирования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непосредственно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местах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пребывания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мероприятиях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ограничению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эмиссионных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параметров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источника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Последнее,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правило,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применяется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стадии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разработки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изделия,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служащего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источником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ЭМП.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проникать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помещения,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находятся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люди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через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дверные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проемы.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экранирования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смотровых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окон,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окон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помещений,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застекления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потолочных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фонарей,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перегородок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применяется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металлизированное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стекло,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обладающее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экранирующими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свойствами.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свойство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стеклу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тонкая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прозрачная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пленка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окислов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металлов,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чаще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олова,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либо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медь,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никель,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серебро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сочетания.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Пленка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обладает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достаточной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оптической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прозрачность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химической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стойкостью.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населения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воздействия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строительных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конструкциях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качестве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защитных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применяться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металлическая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сетка,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металлический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лист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любое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другое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проводящее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покрытие,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числе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специально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разработанные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строительные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материалы.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ряде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случаев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достаточно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использования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заземленной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сетки,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помещаемой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облицовочный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штукатурный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слой.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качестве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применяться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также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различные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пленки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металлизированным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покрытием.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качестве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</w:t>
      </w:r>
      <w:r w:rsidR="00717D28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экранирующих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материалов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получили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металлизированные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основе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синтетических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волокон.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получают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методом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химической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металлизации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растворов)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различной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структуры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плотности.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Существующие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методы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позволяет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регулировать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количество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наносимого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металла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единиц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мкм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изменять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поверхностное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удельное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сопротивление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тканей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десятков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долей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Ом.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Экранирующие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текстильные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материалы.</w:t>
      </w:r>
    </w:p>
    <w:p w:rsidR="00A149D8" w:rsidRPr="00717D28" w:rsidRDefault="00717D28" w:rsidP="00717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2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D28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увидеть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невозможно,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представить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каждому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под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силу,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нормальный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почти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опасается.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Между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если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суммировать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приборов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планете,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уровень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естественного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геомагнитного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Земли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окажется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превышен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миллионы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Масштабы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загрязнения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обитания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людей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столь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существенны,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Всемирная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организация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здравоохранения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включила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проблему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число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наиболее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актуальных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для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="00717D28">
        <w:rPr>
          <w:rFonts w:ascii="Times New Roman" w:hAnsi="Times New Roman" w:cs="Times New Roman"/>
          <w:sz w:val="28"/>
          <w:szCs w:val="28"/>
        </w:rPr>
        <w:t xml:space="preserve">человечества. 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Энергетическое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быть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различной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степени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силы.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неощутимого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(что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наблюдается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наиболее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часто)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теплового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ощущения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высокой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мощности.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Сверхмощные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могут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выводить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строя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приборы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электроаппаратуру.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тяжести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восприниматься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вообще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или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привести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полному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истощению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функциональным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изменением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деятельности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мозга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смертельному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исходу.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Исследования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показали,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продолжительное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относительно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слабого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может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вызвать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раковые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заболевания,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потерю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памяти,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болезни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Паркинсона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Альцгеймера,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импотенцию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даже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повысить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склонность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самоубийству.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способствуют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изменению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гормонального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статуса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мужского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организма,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возрастанию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уровня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хромосомных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аберраций,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вызывают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изменения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репродуктивной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системе.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Сложность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проблемы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заключается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только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населения,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интеллект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будущих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поколений.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Идет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возрастание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врожденных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аномалий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развития.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последние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годы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городах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количество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разнообразных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источников</w:t>
      </w:r>
      <w:r w:rsidR="00717D28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всем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частотном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диапазоне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резко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увеличилось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продолжает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стреми</w:t>
      </w:r>
      <w:r w:rsidRPr="00A645C7">
        <w:rPr>
          <w:rFonts w:ascii="Times New Roman" w:hAnsi="Times New Roman" w:cs="Times New Roman"/>
          <w:sz w:val="28"/>
          <w:szCs w:val="28"/>
        </w:rPr>
        <w:lastRenderedPageBreak/>
        <w:t>тельно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увеличиваться.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Это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системы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радары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ГАИ,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новые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телеканалы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множество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радиовещательных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станций.</w:t>
      </w:r>
    </w:p>
    <w:p w:rsidR="00A149D8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9D" w:rsidRPr="00C00C87" w:rsidRDefault="00CE429D" w:rsidP="00CE42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8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90BB6" w:rsidRDefault="00690BB6" w:rsidP="00690B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 xml:space="preserve">Мы с вами настолько привыкли всегда «быть на связи», что даже не </w:t>
      </w:r>
      <w:proofErr w:type="gramStart"/>
      <w:r w:rsidRPr="00690BB6">
        <w:rPr>
          <w:rFonts w:ascii="Times New Roman" w:hAnsi="Times New Roman" w:cs="Times New Roman"/>
          <w:sz w:val="28"/>
          <w:szCs w:val="28"/>
        </w:rPr>
        <w:t>помним</w:t>
      </w:r>
      <w:proofErr w:type="gramEnd"/>
      <w:r w:rsidRPr="00690BB6">
        <w:rPr>
          <w:rFonts w:ascii="Times New Roman" w:hAnsi="Times New Roman" w:cs="Times New Roman"/>
          <w:sz w:val="28"/>
          <w:szCs w:val="28"/>
        </w:rPr>
        <w:t xml:space="preserve"> да и не хотим вспоминать, как жили лет 20 назад без этой самой связи. Мы стояли в очередях у телефонных будок, всегда имели в кармане две копейки, наизусть знали номера телефонов друзей и коллег. Но технический прогресс «подсадил» нас на сотовую связь, и теперь мобильными телефонами пользуются буквально все, начиная от первоклашек и заканчивая пенсионерами. Но все ли так хорошо и благополучно? Не прячется ли в маленьком аппарате большая опасность для нас и, в первую очередь, для наших детей?  </w:t>
      </w:r>
    </w:p>
    <w:p w:rsidR="00CE429D" w:rsidRDefault="00690BB6" w:rsidP="00690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>Польза от мобильных телефонов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BB6" w:rsidRPr="00690BB6" w:rsidRDefault="00690BB6" w:rsidP="00690BB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>экономия времени и денег.</w:t>
      </w:r>
    </w:p>
    <w:p w:rsidR="00690BB6" w:rsidRPr="00690BB6" w:rsidRDefault="00690BB6" w:rsidP="00690BB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>позволяет общаться в любом месте</w:t>
      </w:r>
    </w:p>
    <w:p w:rsidR="00690BB6" w:rsidRPr="00690BB6" w:rsidRDefault="00690BB6" w:rsidP="00690BB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>Нужен в экстренных ситуациях.</w:t>
      </w:r>
    </w:p>
    <w:p w:rsidR="00690BB6" w:rsidRDefault="00690BB6" w:rsidP="00690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от мобильных телефонов:</w:t>
      </w:r>
    </w:p>
    <w:p w:rsidR="00690BB6" w:rsidRPr="00690BB6" w:rsidRDefault="00690BB6" w:rsidP="00690BB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>Ученые со всего мира на протяжении уже несколько десятилетий бьют тревогу, заявляя о результатах своих экспериментов над животными. Они говорят об опасности мобильных телефонов и утверждают, что сотовые телефоны оказывают негативное влияние на слух, зрение, мозговую деятельность, иммунитет, щитовидную железу.</w:t>
      </w:r>
    </w:p>
    <w:p w:rsidR="00690BB6" w:rsidRDefault="00690BB6" w:rsidP="00690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B6">
        <w:rPr>
          <w:rFonts w:ascii="Times New Roman" w:hAnsi="Times New Roman" w:cs="Times New Roman"/>
          <w:sz w:val="28"/>
          <w:szCs w:val="28"/>
        </w:rPr>
        <w:t>Как защитить себя от этого:</w:t>
      </w:r>
    </w:p>
    <w:p w:rsidR="006846E6" w:rsidRPr="00E26731" w:rsidRDefault="0015574F" w:rsidP="00E267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731">
        <w:rPr>
          <w:rFonts w:ascii="Times New Roman" w:hAnsi="Times New Roman" w:cs="Times New Roman"/>
          <w:sz w:val="28"/>
          <w:szCs w:val="28"/>
        </w:rPr>
        <w:t>Звоните на улице</w:t>
      </w:r>
    </w:p>
    <w:p w:rsidR="006846E6" w:rsidRPr="00E26731" w:rsidRDefault="0015574F" w:rsidP="00E267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731">
        <w:rPr>
          <w:rFonts w:ascii="Times New Roman" w:hAnsi="Times New Roman" w:cs="Times New Roman"/>
          <w:sz w:val="28"/>
          <w:szCs w:val="28"/>
        </w:rPr>
        <w:t xml:space="preserve"> Держите трубку на расстоянии от уха</w:t>
      </w:r>
    </w:p>
    <w:p w:rsidR="006846E6" w:rsidRPr="00E26731" w:rsidRDefault="0015574F" w:rsidP="00E267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731">
        <w:rPr>
          <w:rFonts w:ascii="Times New Roman" w:hAnsi="Times New Roman" w:cs="Times New Roman"/>
          <w:sz w:val="28"/>
          <w:szCs w:val="28"/>
        </w:rPr>
        <w:t>Переключите телефон на диапазон 1800 МГц</w:t>
      </w:r>
    </w:p>
    <w:p w:rsidR="006846E6" w:rsidRPr="00E26731" w:rsidRDefault="0015574F" w:rsidP="00E267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731">
        <w:rPr>
          <w:rFonts w:ascii="Times New Roman" w:hAnsi="Times New Roman" w:cs="Times New Roman"/>
          <w:sz w:val="28"/>
          <w:szCs w:val="28"/>
        </w:rPr>
        <w:lastRenderedPageBreak/>
        <w:t>Держите трубку вертикально</w:t>
      </w:r>
    </w:p>
    <w:p w:rsidR="006846E6" w:rsidRPr="00E26731" w:rsidRDefault="0015574F" w:rsidP="00E26731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731">
        <w:rPr>
          <w:rFonts w:ascii="Times New Roman" w:hAnsi="Times New Roman" w:cs="Times New Roman"/>
          <w:sz w:val="28"/>
          <w:szCs w:val="28"/>
        </w:rPr>
        <w:t>Стараться не более 2-3 минут за один раз разговаривать</w:t>
      </w:r>
    </w:p>
    <w:p w:rsidR="00A149D8" w:rsidRDefault="00717D28" w:rsidP="00717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2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C87" w:rsidRPr="00717D28" w:rsidRDefault="00C00C87" w:rsidP="00717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1.</w:t>
      </w:r>
      <w:r w:rsidR="00717D28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базовых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станций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[Электронный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ресурс]: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http://www.moris.ru/~gorses/baz_stanc.htm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2.</w:t>
      </w:r>
      <w:r w:rsidR="00717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Иксар</w:t>
      </w:r>
      <w:proofErr w:type="spellEnd"/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Беспроводные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средства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связи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безопасность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[Электронный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ресурс]: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http://www.warning.dp.ua/tel5.htm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3.</w:t>
      </w:r>
      <w:r w:rsidR="00717D28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поле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его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влияние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на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здоровье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[Электронный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ресурс]: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http://www.it-med.ru/library/ie/el_magn_field.htm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4.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Человек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[Электронный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ресурс]: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http://www.geopatogen.ru/article10.html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5.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Снижение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излучения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мобильных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телефонов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установке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сотового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ретранслятора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[Электронный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ресурс]: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http://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www.best-gsm.ru/safe.php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6.</w:t>
      </w:r>
      <w:r w:rsidR="00717D28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Мобильная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безопасность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[Электронный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ресурс]: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http://www.1wr.ru/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mobilnaya_bezopasnost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45C7">
        <w:rPr>
          <w:rFonts w:ascii="Times New Roman" w:hAnsi="Times New Roman" w:cs="Times New Roman"/>
          <w:sz w:val="28"/>
          <w:szCs w:val="28"/>
        </w:rPr>
        <w:t>mobilnaya_bezopasnost</w:t>
      </w:r>
      <w:proofErr w:type="spellEnd"/>
      <w:r w:rsidRPr="00A645C7">
        <w:rPr>
          <w:rFonts w:ascii="Times New Roman" w:hAnsi="Times New Roman" w:cs="Times New Roman"/>
          <w:sz w:val="28"/>
          <w:szCs w:val="28"/>
        </w:rPr>
        <w:t>/1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C7">
        <w:rPr>
          <w:rFonts w:ascii="Times New Roman" w:hAnsi="Times New Roman" w:cs="Times New Roman"/>
          <w:sz w:val="28"/>
          <w:szCs w:val="28"/>
        </w:rPr>
        <w:t>7.</w:t>
      </w:r>
      <w:r w:rsidR="003F2114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«Мобильники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приводят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мутации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генов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Тверские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вести,</w:t>
      </w:r>
      <w:r w:rsidR="00A645C7"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15.10.2005.</w:t>
      </w:r>
    </w:p>
    <w:p w:rsidR="00A149D8" w:rsidRPr="00A645C7" w:rsidRDefault="003F2114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45C7">
        <w:rPr>
          <w:rFonts w:ascii="Times New Roman" w:hAnsi="Times New Roman" w:cs="Times New Roman"/>
          <w:sz w:val="28"/>
          <w:szCs w:val="28"/>
        </w:rPr>
        <w:t>Мобильники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мутации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генов».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5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Тверские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вести,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C7">
        <w:rPr>
          <w:rFonts w:ascii="Times New Roman" w:hAnsi="Times New Roman" w:cs="Times New Roman"/>
          <w:sz w:val="28"/>
          <w:szCs w:val="28"/>
        </w:rPr>
        <w:t>15.10.2005.</w:t>
      </w:r>
    </w:p>
    <w:p w:rsidR="00A149D8" w:rsidRPr="00A645C7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D8" w:rsidRDefault="00A149D8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A64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1" w:rsidRPr="00E26731" w:rsidRDefault="00E26731" w:rsidP="001F20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6731" w:rsidRPr="00E26731" w:rsidSect="00A645C7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B7" w:rsidRDefault="002721B7" w:rsidP="00A645C7">
      <w:pPr>
        <w:spacing w:after="0" w:line="240" w:lineRule="auto"/>
      </w:pPr>
      <w:r>
        <w:separator/>
      </w:r>
    </w:p>
  </w:endnote>
  <w:endnote w:type="continuationSeparator" w:id="0">
    <w:p w:rsidR="002721B7" w:rsidRDefault="002721B7" w:rsidP="00A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28056"/>
      <w:docPartObj>
        <w:docPartGallery w:val="Page Numbers (Bottom of Page)"/>
        <w:docPartUnique/>
      </w:docPartObj>
    </w:sdtPr>
    <w:sdtEndPr/>
    <w:sdtContent>
      <w:p w:rsidR="00690BB6" w:rsidRDefault="00690B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1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B7" w:rsidRDefault="002721B7" w:rsidP="00A645C7">
      <w:pPr>
        <w:spacing w:after="0" w:line="240" w:lineRule="auto"/>
      </w:pPr>
      <w:r>
        <w:separator/>
      </w:r>
    </w:p>
  </w:footnote>
  <w:footnote w:type="continuationSeparator" w:id="0">
    <w:p w:rsidR="002721B7" w:rsidRDefault="002721B7" w:rsidP="00A6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B4"/>
    <w:multiLevelType w:val="hybridMultilevel"/>
    <w:tmpl w:val="49D2959A"/>
    <w:lvl w:ilvl="0" w:tplc="DE5AA9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121E"/>
    <w:multiLevelType w:val="hybridMultilevel"/>
    <w:tmpl w:val="5AC819E0"/>
    <w:lvl w:ilvl="0" w:tplc="C186A61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330"/>
    <w:multiLevelType w:val="hybridMultilevel"/>
    <w:tmpl w:val="9DB84584"/>
    <w:lvl w:ilvl="0" w:tplc="566E2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915A59"/>
    <w:multiLevelType w:val="hybridMultilevel"/>
    <w:tmpl w:val="9062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90C0A"/>
    <w:multiLevelType w:val="hybridMultilevel"/>
    <w:tmpl w:val="5AC819E0"/>
    <w:lvl w:ilvl="0" w:tplc="C186A61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5AAA"/>
    <w:multiLevelType w:val="hybridMultilevel"/>
    <w:tmpl w:val="EA8E0EA4"/>
    <w:lvl w:ilvl="0" w:tplc="1F7C5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2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64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04C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1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4C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5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E2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6BB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215BB"/>
    <w:multiLevelType w:val="hybridMultilevel"/>
    <w:tmpl w:val="AF7E210A"/>
    <w:lvl w:ilvl="0" w:tplc="FA703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B7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EE9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AF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889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06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5A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E56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63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3743"/>
    <w:multiLevelType w:val="hybridMultilevel"/>
    <w:tmpl w:val="6588890E"/>
    <w:lvl w:ilvl="0" w:tplc="9C04C3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01A9"/>
    <w:multiLevelType w:val="hybridMultilevel"/>
    <w:tmpl w:val="DD384A6A"/>
    <w:lvl w:ilvl="0" w:tplc="21DC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2A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C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E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2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7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C5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E9"/>
    <w:rsid w:val="00027B64"/>
    <w:rsid w:val="00047002"/>
    <w:rsid w:val="00075E09"/>
    <w:rsid w:val="000A352E"/>
    <w:rsid w:val="0015574F"/>
    <w:rsid w:val="001B02E5"/>
    <w:rsid w:val="001B5AF0"/>
    <w:rsid w:val="001F20AD"/>
    <w:rsid w:val="00217139"/>
    <w:rsid w:val="002721B7"/>
    <w:rsid w:val="00280D82"/>
    <w:rsid w:val="00344050"/>
    <w:rsid w:val="003B0EAA"/>
    <w:rsid w:val="003E0374"/>
    <w:rsid w:val="003F2114"/>
    <w:rsid w:val="00470878"/>
    <w:rsid w:val="005156DA"/>
    <w:rsid w:val="005E7A21"/>
    <w:rsid w:val="006846E6"/>
    <w:rsid w:val="00690BB6"/>
    <w:rsid w:val="00717D28"/>
    <w:rsid w:val="007C2FE9"/>
    <w:rsid w:val="00806F15"/>
    <w:rsid w:val="008348D2"/>
    <w:rsid w:val="00A149D8"/>
    <w:rsid w:val="00A645C7"/>
    <w:rsid w:val="00B01292"/>
    <w:rsid w:val="00B15CCC"/>
    <w:rsid w:val="00B952A6"/>
    <w:rsid w:val="00C00C87"/>
    <w:rsid w:val="00CE429D"/>
    <w:rsid w:val="00D04889"/>
    <w:rsid w:val="00E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D7F8"/>
  <w15:docId w15:val="{B04CE574-AAEE-4FBB-A731-8166BB9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49D8"/>
    <w:pPr>
      <w:ind w:left="720"/>
      <w:contextualSpacing/>
    </w:pPr>
  </w:style>
  <w:style w:type="character" w:styleId="a5">
    <w:name w:val="Emphasis"/>
    <w:basedOn w:val="a0"/>
    <w:uiPriority w:val="20"/>
    <w:qFormat/>
    <w:rsid w:val="00A149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4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149D8"/>
  </w:style>
  <w:style w:type="character" w:styleId="a6">
    <w:name w:val="Hyperlink"/>
    <w:basedOn w:val="a0"/>
    <w:uiPriority w:val="99"/>
    <w:unhideWhenUsed/>
    <w:rsid w:val="00A149D8"/>
    <w:rPr>
      <w:color w:val="0000FF"/>
      <w:u w:val="single"/>
    </w:rPr>
  </w:style>
  <w:style w:type="character" w:styleId="a7">
    <w:name w:val="Strong"/>
    <w:basedOn w:val="a0"/>
    <w:uiPriority w:val="22"/>
    <w:qFormat/>
    <w:rsid w:val="00A149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C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45C7"/>
  </w:style>
  <w:style w:type="paragraph" w:styleId="ac">
    <w:name w:val="footer"/>
    <w:basedOn w:val="a"/>
    <w:link w:val="ad"/>
    <w:uiPriority w:val="99"/>
    <w:unhideWhenUsed/>
    <w:rsid w:val="00A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5C7"/>
  </w:style>
  <w:style w:type="table" w:styleId="ae">
    <w:name w:val="Table Grid"/>
    <w:basedOn w:val="a1"/>
    <w:uiPriority w:val="59"/>
    <w:rsid w:val="0051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047002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0470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6375-2104-4911-86D9-06EA06B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 2021</cp:lastModifiedBy>
  <cp:revision>17</cp:revision>
  <dcterms:created xsi:type="dcterms:W3CDTF">2016-12-12T10:21:00Z</dcterms:created>
  <dcterms:modified xsi:type="dcterms:W3CDTF">2021-03-11T12:06:00Z</dcterms:modified>
</cp:coreProperties>
</file>