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7" w:rsidRPr="008D0DC7" w:rsidRDefault="008D0DC7" w:rsidP="008D0DC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Современные педагогические технологии в системе дополнительного образования детей</w:t>
      </w:r>
    </w:p>
    <w:p w:rsidR="008D0DC7" w:rsidRPr="008D0DC7" w:rsidRDefault="008D0DC7" w:rsidP="008D0D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DC7" w:rsidRPr="008D0DC7" w:rsidRDefault="008D0DC7" w:rsidP="008D0DC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исследовательского обучения. </w:t>
      </w:r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учебного исследования. Цель, задачи, методы исследования. 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исследования  как  научное предположение.</w:t>
      </w:r>
      <w:r w:rsidRPr="008D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методики. Программа исследование. Анализ, оценка и интерпретация результатов исследования. Защита исследовательского проекта.</w:t>
      </w:r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0DC7" w:rsidRPr="008D0DC7" w:rsidRDefault="008D0DC7" w:rsidP="008D0DC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Интерактивные педагогические технологии в системе дополнительного образования. Проектная деятельность как средство формирования универсальных учебных действий </w:t>
      </w:r>
      <w:proofErr w:type="gramStart"/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элементом модернизации образования является федеральный государственный образовательный стандарт, в котором основополагающими образовательными технологиями  является технологии, основанные на системно-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подходе. Система дополнительного образования и общего образования образует единое педагогическое пространство, следовательно, применение 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педагогических технологий, основанных на системно-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 является</w:t>
      </w:r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направлением проектирования образовательного процесса в системе дополнительного образования.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активную позицию учащихся в процессе реализации дополнительной образовательной программы возможно при помощи системно-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актуализирует обновление методико-технологической составляющей дополнительного образования. Приоритетными в работе педагога дополнительного образования должны стать педагогические технологии, ориентированные на активизацию самостоятельности учащихся, становление у них субъектной позиции в образовательном процессе, стимулирование потребности в постоянном саморазвитии. 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Педагогическая технология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τέχνη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искусство, мастерство, умение;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λόγος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слово, учение) – набор форм, методов, методик, способов, приемов обучения и воспитательных средств, комплексно используемых в образовательном процессе на основе определенных психолого-педагогических установок и приводящий к достижению прогнозируемого результата с минимальной нормой отклонения.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Педагогическая технология выстраивается в порядке взаимодействия элементов технологической цепочки: Цель - Содержание - Деятельность-Результат.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первых в нашей стране вопрос о педагогических технологиях поднял  Герман Константинович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(1932-2008) – известный российский педагог, автор оригинальных педагогических концепций гуманно-личностно-ориентированного подхода к учащимся, разработчик проблем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технологизации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труда.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педагогическая технология должна соответствовать некоторым основным методологическим требованиям (критериям технологичности). </w:t>
      </w:r>
      <w:r w:rsidRPr="008D0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Методологические требования к  образовательным технологиям</w:t>
      </w:r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(Г.К. </w:t>
      </w:r>
      <w:proofErr w:type="spellStart"/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8D0DC7" w:rsidRPr="008D0DC7" w:rsidRDefault="008D0DC7" w:rsidP="008D0DC7">
      <w:pPr>
        <w:numPr>
          <w:ilvl w:val="0"/>
          <w:numId w:val="1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Концептуальность.  </w:t>
      </w:r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 опора на научную концепцию. </w:t>
      </w:r>
      <w:r w:rsidRPr="008D0D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</w:p>
    <w:p w:rsidR="008D0DC7" w:rsidRPr="008D0DC7" w:rsidRDefault="008D0DC7" w:rsidP="008D0DC7">
      <w:pPr>
        <w:numPr>
          <w:ilvl w:val="0"/>
          <w:numId w:val="1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Системность</w:t>
      </w:r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реализации любой педагогической технологии должна проявляться системность, которая отражена логике процесса, взаимосвязи всех его частей и целостности.</w:t>
      </w:r>
    </w:p>
    <w:p w:rsidR="008D0DC7" w:rsidRPr="008D0DC7" w:rsidRDefault="008D0DC7" w:rsidP="008D0DC7">
      <w:pPr>
        <w:numPr>
          <w:ilvl w:val="0"/>
          <w:numId w:val="1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Управляемость</w:t>
      </w:r>
      <w:r w:rsidRPr="008D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D0D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проявляется в возможности</w:t>
      </w:r>
      <w:r w:rsidRPr="008D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целеполагания, планирования, проектирования процесса обучения, поэтапной диагностики, с целью коррекции результатов.</w:t>
      </w:r>
    </w:p>
    <w:p w:rsidR="008D0DC7" w:rsidRPr="008D0DC7" w:rsidRDefault="008D0DC7" w:rsidP="008D0DC7">
      <w:pPr>
        <w:numPr>
          <w:ilvl w:val="0"/>
          <w:numId w:val="1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Эффективность</w:t>
      </w:r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технологии проявляется в результатах и оптимальности по затратам, достижении определенного стандарта обучения.</w:t>
      </w:r>
    </w:p>
    <w:p w:rsidR="008D0DC7" w:rsidRPr="008D0DC7" w:rsidRDefault="008D0DC7" w:rsidP="008D0DC7">
      <w:pPr>
        <w:numPr>
          <w:ilvl w:val="0"/>
          <w:numId w:val="11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0D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8D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D0D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проявляется в</w:t>
      </w:r>
      <w:r w:rsidRPr="008D0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D0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применения (воспроизведения) педагогической технологии в других образовательных организациях, другими субъектами.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технологий, отражающих системно-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исследовательского обучения. Важность включения в обучение учащихся исследовательской деятельности подчеркивалась многими учеными и педагогами (И. Г. Песталоцци, Ж.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Ж.Руссо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И. Новиков, К. Д. Ушинский, П. Ф.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Каптерев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Сухомлинский, Ю. К.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Н.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Скаткин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Я.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И. Савенков, А. В.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Леонтович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Обухов и др.).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«Именно активность обучающегося признается основой достижения развивающих целей обучения — знание не передается в готовом виде, а 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строится самими учащимися в процессе познавательной, исследовательской деятельности»</w:t>
      </w:r>
      <w:r w:rsidRPr="008D0D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учащегося — это деятельность, которая направлена на получение, переработку, хранение, использование и передачу информации. Информация необходима для получения новых знаний и развития личностных характеристик, которые способствуют продолжению  образования учащихся.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средством исследовательской деятельности выступает учебное исследование. Исследование называется учебным, потому что, в отличие от  подлинного исследования, имеет своим результатом не объективно новое знание, а изменения, которые происходят в 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обучающемся</w:t>
      </w:r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 исследовательская деятельность относится  к образовательным технологиям, позволяющим эффективно достигать личностных и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исследовательскими проектами и проектами других видов используются разные методы самостоятельной познавательной деятельности учащихся. Среди таких методов - исследовательский метод.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Исследовательский метод (метод исследовательских проектов) основан на развитии умения осваивать окружающий мир на базе научной методологии, что является одной из важнейших задач общего образования.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исследовательский проект структурируется в соответствии с устоявшемся в науке подходом:</w:t>
      </w:r>
      <w:proofErr w:type="gramEnd"/>
    </w:p>
    <w:p w:rsidR="008D0DC7" w:rsidRPr="008D0DC7" w:rsidRDefault="008D0DC7" w:rsidP="008D0DC7">
      <w:pPr>
        <w:numPr>
          <w:ilvl w:val="0"/>
          <w:numId w:val="3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исследовательской деятельности (поначалу определяется учителем);</w:t>
      </w:r>
    </w:p>
    <w:p w:rsidR="008D0DC7" w:rsidRPr="008D0DC7" w:rsidRDefault="008D0DC7" w:rsidP="008D0DC7">
      <w:pPr>
        <w:numPr>
          <w:ilvl w:val="0"/>
          <w:numId w:val="3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проблемы исследования по результатам анализа исходного материала;</w:t>
      </w:r>
    </w:p>
    <w:p w:rsidR="008D0DC7" w:rsidRPr="008D0DC7" w:rsidRDefault="008D0DC7" w:rsidP="008D0DC7">
      <w:pPr>
        <w:numPr>
          <w:ilvl w:val="0"/>
          <w:numId w:val="3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гипотезы о возможных способах решения поставленной проблемы и результатах предстоящего исследования;</w:t>
      </w:r>
    </w:p>
    <w:p w:rsidR="008D0DC7" w:rsidRPr="008D0DC7" w:rsidRDefault="008D0DC7" w:rsidP="008D0DC7">
      <w:pPr>
        <w:numPr>
          <w:ilvl w:val="0"/>
          <w:numId w:val="3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выявленных проблем и выбор процедуры сбора и обработки необходимых данных, сбор информации, её обработка и анализ полученных результатов, подготовка отчёта и обсуждение возможного применения полученных результатов.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исследования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это представление о результатах изучения объекта, которое отражает механизмы и способы решения исследуемой проблемы. Ожидаемые результаты могут быть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теоритическим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идея, подход, тенденции, классификация и др.) и практическими (программа, технические 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книга и др.) Формулировка цели отражает направленность исследования.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к цели и к результату планируется по этапам и описывается в задачах исследования.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 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промежуточные цели, которые необходимо достичь исследователю для реализации общей цели. Достижение цели требует решения серии взаимосвязанных задач.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целей и задач педагог и учащиеся  могут использовать следующие слова: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21"/>
        <w:gridCol w:w="2875"/>
        <w:gridCol w:w="2875"/>
      </w:tblGrid>
      <w:tr w:rsidR="008D0DC7" w:rsidRPr="008D0DC7" w:rsidTr="00A17F2A">
        <w:tc>
          <w:tcPr>
            <w:tcW w:w="3821" w:type="dxa"/>
          </w:tcPr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Апробировать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Выявить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Выяснить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Измерить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Изобрести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Иллюстрировать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Интервьюировать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Исследовать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Каталогизировать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Классифицировать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Наблюдать </w:t>
            </w:r>
          </w:p>
          <w:p w:rsidR="008D0DC7" w:rsidRPr="008D0DC7" w:rsidRDefault="008D0DC7" w:rsidP="008D0D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Обсудить</w:t>
            </w:r>
          </w:p>
        </w:tc>
        <w:tc>
          <w:tcPr>
            <w:tcW w:w="2875" w:type="dxa"/>
          </w:tcPr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Описать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Оценить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Подтвердить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Применить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Проверить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опыт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Протестировать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Прочитать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</w:t>
            </w:r>
          </w:p>
          <w:p w:rsidR="008D0DC7" w:rsidRPr="008D0DC7" w:rsidRDefault="008D0DC7" w:rsidP="008D0DC7">
            <w:pPr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Раскрыть</w:t>
            </w:r>
          </w:p>
        </w:tc>
        <w:tc>
          <w:tcPr>
            <w:tcW w:w="2875" w:type="dxa"/>
          </w:tcPr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Рассчитать</w:t>
            </w:r>
          </w:p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Решить</w:t>
            </w:r>
          </w:p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Сделать обзор</w:t>
            </w:r>
          </w:p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Систематизировать</w:t>
            </w:r>
          </w:p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Собрать</w:t>
            </w:r>
          </w:p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Создать</w:t>
            </w:r>
          </w:p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</w:t>
            </w:r>
          </w:p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Сравнить</w:t>
            </w:r>
          </w:p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Установить</w:t>
            </w:r>
          </w:p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Уточнить</w:t>
            </w:r>
          </w:p>
          <w:p w:rsidR="008D0DC7" w:rsidRPr="008D0DC7" w:rsidRDefault="008D0DC7" w:rsidP="008D0DC7">
            <w:pPr>
              <w:ind w:hanging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Эксперементально</w:t>
            </w:r>
            <w:proofErr w:type="spellEnd"/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проверить и др.</w:t>
            </w:r>
          </w:p>
          <w:p w:rsidR="008D0DC7" w:rsidRPr="008D0DC7" w:rsidRDefault="008D0DC7" w:rsidP="008D0DC7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исследовательская задача может быть решена только при условии соответствующего метода исследования. Совокупность методов и приемов исследования, определяющих порядок их применения и интерпретации полученных результатов, образуют методику исследования.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исследовательской методики полностью обусловлен  целевой направленностью исследовательской деятельности учащегося. Очень важно формировать  у обучающихся представления о специфике доступных их возрасту методов и методик исследования в разных науках.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исследования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способы познания объективной реальности, способ достижения поставленной цели.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исследования подразделяются на 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теоритические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эмпирические и вспомогательные.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Теоритические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методы: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теоритический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синтез, абстрагирование и конкретизация, индукция и дедукция, метод моделирования.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Эмпирические методы: наблюдение, исследовательская беседа, опросные методы (анкетирование, интервьюирование, тестирование, социометрия), эксперимент, опытная работа.</w:t>
      </w:r>
      <w:proofErr w:type="gramEnd"/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Вспомогательные методы:  статистический и математический (интерпретации результатов исследования).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практике распространено деление методов  исследования 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количественные и качественные.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методы позволяют обработать полученные в процессе исследования данные количественно и оформить  в виде таблиц,  графиков, диаграмм.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методы позволяют понять  уникальное человеческое поведение и   причины, которые  его вызвали. Качественные исследования сосредоточены на  изучении смысла, выявления своеобразия поведения. Они фокусируются на проявлении реальной жизни.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качественных исследований: </w:t>
      </w:r>
    </w:p>
    <w:p w:rsidR="008D0DC7" w:rsidRPr="008D0DC7" w:rsidRDefault="008D0DC7" w:rsidP="008D0DC7">
      <w:pPr>
        <w:numPr>
          <w:ilvl w:val="0"/>
          <w:numId w:val="4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качественный анализ текста (смыслы извлекаются на основе анализа документов), </w:t>
      </w:r>
    </w:p>
    <w:p w:rsidR="008D0DC7" w:rsidRPr="008D0DC7" w:rsidRDefault="008D0DC7" w:rsidP="008D0DC7">
      <w:pPr>
        <w:numPr>
          <w:ilvl w:val="0"/>
          <w:numId w:val="4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феноменография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(описание феномена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наоснове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суждений человека, его представлений,  взглядов, мыслей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ит.п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</w:p>
    <w:p w:rsidR="008D0DC7" w:rsidRPr="008D0DC7" w:rsidRDefault="008D0DC7" w:rsidP="008D0DC7">
      <w:pPr>
        <w:numPr>
          <w:ilvl w:val="0"/>
          <w:numId w:val="4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нарративный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(нарратив - это повествование, цель исследования достигается на основе выслушивания и анализа повествования людей)</w:t>
      </w:r>
    </w:p>
    <w:p w:rsidR="008D0DC7" w:rsidRPr="008D0DC7" w:rsidRDefault="008D0DC7" w:rsidP="008D0DC7">
      <w:pPr>
        <w:numPr>
          <w:ilvl w:val="0"/>
          <w:numId w:val="4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этнографическое исследования (изучение быта, культуры разных народов на основе анализа смыслов артефактов и др.) и другие методы.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  формулируются после определения цели и гипотезы исследования.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трудность вызывает </w:t>
      </w:r>
      <w:r w:rsidRPr="008D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формулирование гипотезы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Руководителю проекта важно знать, что гипотеза исследования — это научное предположение, истинность которого не очевидна и требует проверки на опыте и доказательства. Гипотеза выдвигается для решения какой-либо конкретной проблемы. Чаще всего функция гипотезы — объяснение новых экспериментальных данных или устранение противоречия теории с отрицательными результатами экспериментов. Для того чтобы быть обоснованной гипотеза должна соответствовать определённым условиям.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условием является логическая и теоретическая обоснованность, соответствие гипотезы фактическому материалу, на базе которого и для объяснения которого она выдвигается; гипотеза должна соответствовать установившимся в науке законам и теориям.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условие — 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эмпирическая</w:t>
      </w:r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проверяемость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гипотезы. В принципе гипотеза должна допускать возможность и своего подтверждения, и опровержения.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Третьим условием состоятельности гипотезы является её информативность. Предполагается, чтобы из гипотезы выводились не только те явления, для объяснения которых она специально сформулирована, но и возможно более широкий круг родственных им явлений.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Четвертое условие — гипотеза должна предсказывать развитие событий в том процессе, который она описывает.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функциональному предназначению гипотезы подразделяются 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объяснительные,  предсказательные и объяснительно-предсказательные. Первые служат для объяснения фактов или явлений; функция вторых — предсказание законов, закономерностей, свойств и особенностей объектов, явлений и процессов; третьи сочетают в себе обе функции.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Гипотеза — это главная идея решения. Она является основным методологическим инструментом, организующим весь процесс исследования.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гипотеза должна отвечать следующим основным требованиям: </w:t>
      </w:r>
    </w:p>
    <w:p w:rsidR="008D0DC7" w:rsidRPr="008D0DC7" w:rsidRDefault="008D0DC7" w:rsidP="008D0DC7">
      <w:pPr>
        <w:numPr>
          <w:ilvl w:val="0"/>
          <w:numId w:val="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не должна содержать понятий, которые не уточнены; </w:t>
      </w:r>
    </w:p>
    <w:p w:rsidR="008D0DC7" w:rsidRPr="008D0DC7" w:rsidRDefault="008D0DC7" w:rsidP="008D0DC7">
      <w:pPr>
        <w:numPr>
          <w:ilvl w:val="0"/>
          <w:numId w:val="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гипотеза должна быть проверяема при помощи стандартных методик.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модель для формулирования гипотезы включает следующие слова: «если..., то...». Имеется в виду вот что: если мы хотим получить какой-либо эффект, результат, что-то изменить, обеспечить режим развития или, напротив, стабилизировать, то мы должны создать те или иные условия, сделать то-то и то-то, используя при этом такие-то средства, инструменты или применяя те или иные приёмы и способы.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своему содержанию гипотезы делятся 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D0DC7" w:rsidRPr="008D0DC7" w:rsidRDefault="008D0DC7" w:rsidP="008D0DC7">
      <w:pPr>
        <w:numPr>
          <w:ilvl w:val="0"/>
          <w:numId w:val="6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гипотезы информационного характера; </w:t>
      </w:r>
    </w:p>
    <w:p w:rsidR="008D0DC7" w:rsidRPr="008D0DC7" w:rsidRDefault="008D0DC7" w:rsidP="008D0DC7">
      <w:pPr>
        <w:numPr>
          <w:ilvl w:val="0"/>
          <w:numId w:val="6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гипотезы инструментального характера.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 проекте  планируется что-либо изменить, оптимизировать, улучшить, то  потребуется гипотеза инструментального характера.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научной литературе предлагаются шаблоны для формулирования гипотезы: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Что-то влияет на что-то в том случае, если...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Предполагается, что формирование чего-либо становится действенным при каких-либо условиях.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Что-то будет успешным, если...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Предполагается, что применение чего-либо позволит повысить уровень чего-либо другого.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Исследовательская деятельность осуществляется с учетом </w:t>
      </w:r>
      <w:r w:rsidRPr="008D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программы исследования. </w:t>
      </w: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исследовани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научный документ, который содержит методологическую, методическую и процедурную основу исследования.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Методологическая функция программы заключается в определении научной проблемы; целей и задач исследования; фиксировании исходного представления об объекте.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функция состоит в разработке общего логического плана исследования, на основе которого  осуществляется его цикл: теория-факты-теория; показывает, как использовать методы сбора и анализа информации, позволяет разработать процедуру исследования, проводить сравнительный анализ полученных результатов аналогичных исследований.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функция обеспечивает разработку  четкой системы разделения ролей между участниками исследования.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программы:</w:t>
      </w:r>
    </w:p>
    <w:p w:rsidR="008D0DC7" w:rsidRPr="008D0DC7" w:rsidRDefault="008D0DC7" w:rsidP="008D0DC7">
      <w:pPr>
        <w:numPr>
          <w:ilvl w:val="0"/>
          <w:numId w:val="1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Методологический раздел состоит из следующих элементов:</w:t>
      </w:r>
    </w:p>
    <w:p w:rsidR="008D0DC7" w:rsidRPr="008D0DC7" w:rsidRDefault="008D0DC7" w:rsidP="008D0DC7">
      <w:pPr>
        <w:numPr>
          <w:ilvl w:val="0"/>
          <w:numId w:val="7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проблемы, цели, задач исследования</w:t>
      </w:r>
    </w:p>
    <w:p w:rsidR="008D0DC7" w:rsidRPr="008D0DC7" w:rsidRDefault="008D0DC7" w:rsidP="008D0DC7">
      <w:pPr>
        <w:numPr>
          <w:ilvl w:val="0"/>
          <w:numId w:val="7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объекта и предмета исследования</w:t>
      </w:r>
    </w:p>
    <w:p w:rsidR="008D0DC7" w:rsidRPr="008D0DC7" w:rsidRDefault="008D0DC7" w:rsidP="008D0DC7">
      <w:pPr>
        <w:numPr>
          <w:ilvl w:val="0"/>
          <w:numId w:val="7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основных понятий</w:t>
      </w:r>
    </w:p>
    <w:p w:rsidR="008D0DC7" w:rsidRPr="008D0DC7" w:rsidRDefault="008D0DC7" w:rsidP="008D0DC7">
      <w:pPr>
        <w:numPr>
          <w:ilvl w:val="0"/>
          <w:numId w:val="7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системный анализ объекта исследования</w:t>
      </w:r>
    </w:p>
    <w:p w:rsidR="008D0DC7" w:rsidRPr="008D0DC7" w:rsidRDefault="008D0DC7" w:rsidP="008D0DC7">
      <w:pPr>
        <w:numPr>
          <w:ilvl w:val="0"/>
          <w:numId w:val="1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Методико-процедурный раздел состоит из следующих элементов:</w:t>
      </w:r>
    </w:p>
    <w:p w:rsidR="008D0DC7" w:rsidRPr="008D0DC7" w:rsidRDefault="008D0DC7" w:rsidP="008D0DC7">
      <w:pPr>
        <w:numPr>
          <w:ilvl w:val="0"/>
          <w:numId w:val="8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исследования</w:t>
      </w:r>
    </w:p>
    <w:p w:rsidR="008D0DC7" w:rsidRPr="008D0DC7" w:rsidRDefault="008D0DC7" w:rsidP="008D0DC7">
      <w:pPr>
        <w:numPr>
          <w:ilvl w:val="0"/>
          <w:numId w:val="8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процедуры сбора и анализа первичных данных.</w:t>
      </w:r>
    </w:p>
    <w:p w:rsidR="008D0DC7" w:rsidRPr="008D0DC7" w:rsidRDefault="008D0DC7" w:rsidP="008D0DC7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исследования требует практически половину интеллектуальных затрат исследователя. При составлении программы решается проблема выбора объекта и предмета исследования, разрабатываются конкретные методики сбора, обработки и анализа данных, проблемы достоверности информации и интерпретации данных.</w:t>
      </w:r>
    </w:p>
    <w:p w:rsidR="008D0DC7" w:rsidRPr="008D0DC7" w:rsidRDefault="008D0DC7" w:rsidP="008D0DC7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в себя план исследования, который может быть </w:t>
      </w:r>
      <w:proofErr w:type="gram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текстовым, графическим и смешанным. План должен  быть четким и кратким, содержать временные сроки.</w:t>
      </w:r>
    </w:p>
    <w:p w:rsidR="008D0DC7" w:rsidRPr="008D0DC7" w:rsidRDefault="008D0DC7" w:rsidP="008D0DC7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0DC7" w:rsidRDefault="008D0DC7" w:rsidP="008D0DC7">
      <w:pPr>
        <w:spacing w:after="0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0DC7" w:rsidRDefault="008D0DC7" w:rsidP="008D0DC7">
      <w:pPr>
        <w:spacing w:after="0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0DC7" w:rsidRDefault="008D0DC7" w:rsidP="008D0DC7">
      <w:pPr>
        <w:spacing w:after="0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0DC7" w:rsidRPr="008D0DC7" w:rsidRDefault="008D0DC7" w:rsidP="008D0DC7">
      <w:pPr>
        <w:spacing w:after="0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8D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Талица 1.</w:t>
      </w:r>
    </w:p>
    <w:p w:rsidR="008D0DC7" w:rsidRPr="008D0DC7" w:rsidRDefault="008D0DC7" w:rsidP="008D0DC7">
      <w:pPr>
        <w:spacing w:after="0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Примерный план работы над учебной исследовательской работой.</w:t>
      </w:r>
    </w:p>
    <w:p w:rsidR="008D0DC7" w:rsidRPr="008D0DC7" w:rsidRDefault="008D0DC7" w:rsidP="008D0DC7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2534"/>
        <w:gridCol w:w="2393"/>
      </w:tblGrid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срок</w:t>
            </w: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Реальный срок</w:t>
            </w: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Выбор темы, руководителя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Формулирование целей, задач исследования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темы исследования на заседании ученического научного общества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Первичная работа с литературой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Реферирование литературы, электронных источников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объекта, предмета, гипотезы, методов исследования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исследования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Апробация исследования или части исследования (семинар, </w:t>
            </w:r>
            <w:proofErr w:type="spellStart"/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дисскусия</w:t>
            </w:r>
            <w:proofErr w:type="spellEnd"/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rPr>
          <w:trHeight w:val="784"/>
        </w:trPr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оформления работы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Рецензирование работы товарищем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доклада, реферата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Рецензирование работы педагогом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C7" w:rsidRPr="008D0DC7" w:rsidTr="00A17F2A">
        <w:tc>
          <w:tcPr>
            <w:tcW w:w="4644" w:type="dxa"/>
          </w:tcPr>
          <w:p w:rsidR="008D0DC7" w:rsidRPr="008D0DC7" w:rsidRDefault="008D0DC7" w:rsidP="008D0DC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DC7">
              <w:rPr>
                <w:rFonts w:ascii="Times New Roman" w:eastAsia="Calibri" w:hAnsi="Times New Roman" w:cs="Times New Roman"/>
                <w:sz w:val="28"/>
                <w:szCs w:val="28"/>
              </w:rPr>
              <w:t>Защита исследовательской работы</w:t>
            </w:r>
          </w:p>
        </w:tc>
        <w:tc>
          <w:tcPr>
            <w:tcW w:w="2534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DC7" w:rsidRPr="008D0DC7" w:rsidRDefault="008D0DC7" w:rsidP="008D0DC7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D0DC7" w:rsidRPr="008D0DC7" w:rsidRDefault="008D0DC7" w:rsidP="008D0DC7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0DC7" w:rsidRPr="008D0DC7" w:rsidRDefault="008D0DC7" w:rsidP="008D0DC7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в ходе исследования результаты подвергаются анализу, оценке и интерпретации. Анализ выявляет роль объективных  и субъективных факторов, повлиявших на ход исследования. Оценка проводится на основании выбранных критериев и направлена на прояснение </w:t>
      </w:r>
      <w:proofErr w:type="spellStart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теоритической</w:t>
      </w:r>
      <w:proofErr w:type="spellEnd"/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практической значимости, степени новизны полученных результатов. Интерпретация позволяет объяснить смысл полученных выводов.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учебно-исследовательской деятельности в образовательном упреждении определяет многообразие форм её организации.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организации исследовательской деятельности:</w:t>
      </w:r>
    </w:p>
    <w:p w:rsidR="008D0DC7" w:rsidRPr="008D0DC7" w:rsidRDefault="008D0DC7" w:rsidP="008D0DC7">
      <w:pPr>
        <w:numPr>
          <w:ilvl w:val="0"/>
          <w:numId w:val="9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занятие-исследование, занятие-лаборатория, занятие-экспертиза, «мозговой штурм»; </w:t>
      </w:r>
    </w:p>
    <w:p w:rsidR="008D0DC7" w:rsidRPr="008D0DC7" w:rsidRDefault="008D0DC7" w:rsidP="008D0DC7">
      <w:pPr>
        <w:numPr>
          <w:ilvl w:val="0"/>
          <w:numId w:val="9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эксперимент (основные этапы: планирование и проведение эксперимента, обработка и анализ результатов, формулирование выводов); </w:t>
      </w:r>
    </w:p>
    <w:p w:rsidR="008D0DC7" w:rsidRPr="008D0DC7" w:rsidRDefault="008D0DC7" w:rsidP="008D0DC7">
      <w:pPr>
        <w:numPr>
          <w:ilvl w:val="0"/>
          <w:numId w:val="9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 исследовательского характера. </w:t>
      </w:r>
    </w:p>
    <w:p w:rsidR="008D0DC7" w:rsidRPr="008D0DC7" w:rsidRDefault="008D0DC7" w:rsidP="008D0D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учебно-исследовательской деятельности учащихся на внеурочных занятиях и (или) в учреждениях дополнительного образования: </w:t>
      </w:r>
    </w:p>
    <w:p w:rsidR="008D0DC7" w:rsidRPr="008D0DC7" w:rsidRDefault="008D0DC7" w:rsidP="008D0DC7">
      <w:pPr>
        <w:numPr>
          <w:ilvl w:val="0"/>
          <w:numId w:val="10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практика; </w:t>
      </w:r>
    </w:p>
    <w:p w:rsidR="008D0DC7" w:rsidRPr="008D0DC7" w:rsidRDefault="008D0DC7" w:rsidP="008D0DC7">
      <w:pPr>
        <w:numPr>
          <w:ilvl w:val="0"/>
          <w:numId w:val="10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экспедиции;</w:t>
      </w:r>
    </w:p>
    <w:p w:rsidR="008D0DC7" w:rsidRPr="008D0DC7" w:rsidRDefault="008D0DC7" w:rsidP="008D0DC7">
      <w:pPr>
        <w:numPr>
          <w:ilvl w:val="0"/>
          <w:numId w:val="10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походы, поездки, экскурсии с чётко обозначенными образовательными целями, программой деятельности; </w:t>
      </w:r>
    </w:p>
    <w:p w:rsidR="008D0DC7" w:rsidRPr="008D0DC7" w:rsidRDefault="008D0DC7" w:rsidP="008D0DC7">
      <w:pPr>
        <w:numPr>
          <w:ilvl w:val="0"/>
          <w:numId w:val="10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факультативные занятия, предполагающие углублённое изучение предмета; </w:t>
      </w:r>
    </w:p>
    <w:p w:rsidR="008D0DC7" w:rsidRPr="008D0DC7" w:rsidRDefault="008D0DC7" w:rsidP="008D0DC7">
      <w:pPr>
        <w:numPr>
          <w:ilvl w:val="0"/>
          <w:numId w:val="10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учащихся в работе ученического научно-исследовательского общества; </w:t>
      </w:r>
    </w:p>
    <w:p w:rsidR="008D0DC7" w:rsidRPr="008D0DC7" w:rsidRDefault="008D0DC7" w:rsidP="008D0DC7">
      <w:pPr>
        <w:numPr>
          <w:ilvl w:val="0"/>
          <w:numId w:val="10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учащихся в олимпиадах, конкурсах, конференциях, предметных неделях.</w:t>
      </w:r>
    </w:p>
    <w:p w:rsidR="00BC02EB" w:rsidRDefault="00AE3B79"/>
    <w:sectPr w:rsidR="00BC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79" w:rsidRDefault="00AE3B79" w:rsidP="008D0DC7">
      <w:pPr>
        <w:spacing w:after="0" w:line="240" w:lineRule="auto"/>
      </w:pPr>
      <w:r>
        <w:separator/>
      </w:r>
    </w:p>
  </w:endnote>
  <w:endnote w:type="continuationSeparator" w:id="0">
    <w:p w:rsidR="00AE3B79" w:rsidRDefault="00AE3B79" w:rsidP="008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79" w:rsidRDefault="00AE3B79" w:rsidP="008D0DC7">
      <w:pPr>
        <w:spacing w:after="0" w:line="240" w:lineRule="auto"/>
      </w:pPr>
      <w:r>
        <w:separator/>
      </w:r>
    </w:p>
  </w:footnote>
  <w:footnote w:type="continuationSeparator" w:id="0">
    <w:p w:rsidR="00AE3B79" w:rsidRDefault="00AE3B79" w:rsidP="008D0DC7">
      <w:pPr>
        <w:spacing w:after="0" w:line="240" w:lineRule="auto"/>
      </w:pPr>
      <w:r>
        <w:continuationSeparator/>
      </w:r>
    </w:p>
  </w:footnote>
  <w:footnote w:id="1">
    <w:p w:rsidR="008D0DC7" w:rsidRPr="00E77BDB" w:rsidRDefault="008D0DC7" w:rsidP="008D0DC7">
      <w:pPr>
        <w:pStyle w:val="a4"/>
        <w:jc w:val="both"/>
        <w:rPr>
          <w:rFonts w:ascii="Times New Roman" w:hAnsi="Times New Roman" w:cs="Times New Roman"/>
        </w:rPr>
      </w:pPr>
      <w:r w:rsidRPr="00E77BDB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Как</w:t>
      </w:r>
      <w:r w:rsidRPr="00E77BDB">
        <w:rPr>
          <w:rFonts w:ascii="Times New Roman" w:hAnsi="Times New Roman" w:cs="Times New Roman"/>
        </w:rPr>
        <w:t xml:space="preserve"> проектировать универсальные учебные действия в начальной школе. От действия к мысли</w:t>
      </w:r>
      <w:proofErr w:type="gramStart"/>
      <w:r w:rsidRPr="00E77BDB">
        <w:rPr>
          <w:rFonts w:ascii="Times New Roman" w:hAnsi="Times New Roman" w:cs="Times New Roman"/>
        </w:rPr>
        <w:t xml:space="preserve"> :</w:t>
      </w:r>
      <w:proofErr w:type="gramEnd"/>
    </w:p>
    <w:p w:rsidR="008D0DC7" w:rsidRPr="00E77BDB" w:rsidRDefault="008D0DC7" w:rsidP="008D0DC7">
      <w:pPr>
        <w:pStyle w:val="a4"/>
        <w:jc w:val="both"/>
        <w:rPr>
          <w:rFonts w:ascii="Times New Roman" w:hAnsi="Times New Roman" w:cs="Times New Roman"/>
        </w:rPr>
      </w:pPr>
      <w:r w:rsidRPr="00E77BDB">
        <w:rPr>
          <w:rFonts w:ascii="Times New Roman" w:hAnsi="Times New Roman" w:cs="Times New Roman"/>
        </w:rPr>
        <w:t xml:space="preserve">пособие для учителя / под ред. А. Г. </w:t>
      </w:r>
      <w:proofErr w:type="spellStart"/>
      <w:r w:rsidRPr="00E77BDB">
        <w:rPr>
          <w:rFonts w:ascii="Times New Roman" w:hAnsi="Times New Roman" w:cs="Times New Roman"/>
        </w:rPr>
        <w:t>Асмолова</w:t>
      </w:r>
      <w:proofErr w:type="spellEnd"/>
      <w:r w:rsidRPr="00E77BDB">
        <w:rPr>
          <w:rFonts w:ascii="Times New Roman" w:hAnsi="Times New Roman" w:cs="Times New Roman"/>
        </w:rPr>
        <w:t>. М.</w:t>
      </w:r>
      <w:proofErr w:type="gramStart"/>
      <w:r w:rsidRPr="00E77BDB">
        <w:rPr>
          <w:rFonts w:ascii="Times New Roman" w:hAnsi="Times New Roman" w:cs="Times New Roman"/>
        </w:rPr>
        <w:t xml:space="preserve"> :</w:t>
      </w:r>
      <w:proofErr w:type="gramEnd"/>
      <w:r w:rsidRPr="00E77BDB">
        <w:rPr>
          <w:rFonts w:ascii="Times New Roman" w:hAnsi="Times New Roman" w:cs="Times New Roman"/>
        </w:rPr>
        <w:t xml:space="preserve"> Просвещение, 2011. С.10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253"/>
    <w:multiLevelType w:val="hybridMultilevel"/>
    <w:tmpl w:val="CC6CCF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302DA0"/>
    <w:multiLevelType w:val="hybridMultilevel"/>
    <w:tmpl w:val="1870FF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732658"/>
    <w:multiLevelType w:val="hybridMultilevel"/>
    <w:tmpl w:val="92623B8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F22D5F"/>
    <w:multiLevelType w:val="hybridMultilevel"/>
    <w:tmpl w:val="F796F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C3D5983"/>
    <w:multiLevelType w:val="hybridMultilevel"/>
    <w:tmpl w:val="F796F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717913"/>
    <w:multiLevelType w:val="hybridMultilevel"/>
    <w:tmpl w:val="56324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87F43"/>
    <w:multiLevelType w:val="hybridMultilevel"/>
    <w:tmpl w:val="EAEE310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B8147E6"/>
    <w:multiLevelType w:val="hybridMultilevel"/>
    <w:tmpl w:val="20E8EF76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4F7E6A07"/>
    <w:multiLevelType w:val="hybridMultilevel"/>
    <w:tmpl w:val="C31ED04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0B15971"/>
    <w:multiLevelType w:val="hybridMultilevel"/>
    <w:tmpl w:val="106C51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555A05"/>
    <w:multiLevelType w:val="hybridMultilevel"/>
    <w:tmpl w:val="833C24D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53"/>
    <w:rsid w:val="005E5B53"/>
    <w:rsid w:val="008D0DC7"/>
    <w:rsid w:val="008E2683"/>
    <w:rsid w:val="00A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D0D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D0DC7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D0DC7"/>
    <w:rPr>
      <w:vertAlign w:val="superscript"/>
    </w:rPr>
  </w:style>
  <w:style w:type="table" w:styleId="a3">
    <w:name w:val="Table Grid"/>
    <w:basedOn w:val="a1"/>
    <w:uiPriority w:val="59"/>
    <w:rsid w:val="008D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D0DC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D0DC7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D0DC7"/>
    <w:rPr>
      <w:vertAlign w:val="superscript"/>
    </w:rPr>
  </w:style>
  <w:style w:type="table" w:styleId="a3">
    <w:name w:val="Table Grid"/>
    <w:basedOn w:val="a1"/>
    <w:uiPriority w:val="59"/>
    <w:rsid w:val="008D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2</cp:revision>
  <dcterms:created xsi:type="dcterms:W3CDTF">2021-03-12T05:54:00Z</dcterms:created>
  <dcterms:modified xsi:type="dcterms:W3CDTF">2021-03-12T05:54:00Z</dcterms:modified>
</cp:coreProperties>
</file>