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91" w:rsidRPr="00D32128" w:rsidRDefault="002D6091" w:rsidP="002D6091">
      <w:pPr>
        <w:widowControl w:val="0"/>
        <w:ind w:firstLine="0"/>
        <w:jc w:val="center"/>
        <w:rPr>
          <w:rFonts w:eastAsia="Calibri" w:cs="Times New Roman"/>
          <w:szCs w:val="28"/>
        </w:rPr>
      </w:pPr>
      <w:r>
        <w:t>Тема: Приоритетные трудовые ценности</w:t>
      </w:r>
    </w:p>
    <w:p w:rsidR="002D6091" w:rsidRPr="00D32128" w:rsidRDefault="002D6091" w:rsidP="002D6091">
      <w:pPr>
        <w:pStyle w:val="ac"/>
        <w:jc w:val="right"/>
        <w:rPr>
          <w:rFonts w:eastAsia="Liberation Serif"/>
        </w:rPr>
      </w:pPr>
      <w:r w:rsidRPr="00D32128">
        <w:rPr>
          <w:rFonts w:eastAsia="Liberation Serif"/>
        </w:rPr>
        <w:t>Е. А Арефьева.</w:t>
      </w:r>
    </w:p>
    <w:p w:rsidR="002D6091" w:rsidRPr="00D32128" w:rsidRDefault="002D6091" w:rsidP="002D6091">
      <w:pPr>
        <w:pStyle w:val="ac"/>
        <w:jc w:val="right"/>
        <w:rPr>
          <w:rFonts w:eastAsia="Liberation Serif"/>
        </w:rPr>
      </w:pPr>
    </w:p>
    <w:p w:rsidR="002D6091" w:rsidRPr="00D32128" w:rsidRDefault="002D6091" w:rsidP="002D6091">
      <w:pPr>
        <w:pStyle w:val="ac"/>
        <w:jc w:val="right"/>
        <w:rPr>
          <w:rFonts w:eastAsia="Liberation Serif"/>
        </w:rPr>
      </w:pPr>
    </w:p>
    <w:p w:rsidR="002D6091" w:rsidRPr="00D32128" w:rsidRDefault="002D6091" w:rsidP="002D6091">
      <w:pPr>
        <w:pStyle w:val="ac"/>
        <w:jc w:val="right"/>
      </w:pPr>
    </w:p>
    <w:p w:rsidR="002217F8" w:rsidRDefault="002217F8" w:rsidP="002217F8">
      <w:r w:rsidRPr="002217F8">
        <w:t xml:space="preserve">Трудовые ценности – это эмоционально окрашенные представления и суждения индивида о важности для него труда в целом и отдельных его сторон. Трудовые ценности – индикаторы трудовой мотивации.  </w:t>
      </w:r>
    </w:p>
    <w:p w:rsidR="00130F9E" w:rsidRDefault="00130F9E" w:rsidP="002217F8">
      <w:r>
        <w:t>На протяжении многих лет одной из ключевых для анализа трудовых ценностей является оппозиция “extrinsic – intrinsic” [Deci, 1975], в рамках которой противопоставляются содержательные, «внутренние» трудовые ценности (такие, как самореализация, результаты труда или интересная работа) и «внешние», инструментальные, связанные с личными интересами работника или его семьи (величина заработка, хорошие условия труда, минимизация трудовых усилий, частично – гарантии занятости). Естественно, что различия по этому параметру четко проявились в межстрановых сравнениях трудовых ценностей.</w:t>
      </w:r>
    </w:p>
    <w:p w:rsidR="002217F8" w:rsidRDefault="002217F8" w:rsidP="002217F8">
      <w:r>
        <w:t>Важность оценива</w:t>
      </w:r>
      <w:bookmarkStart w:id="0" w:name="_GoBack"/>
      <w:bookmarkEnd w:id="0"/>
      <w:r>
        <w:t>ния трудовых ценностей заключается в аспектах:</w:t>
      </w:r>
    </w:p>
    <w:p w:rsidR="002217F8" w:rsidRPr="002217F8" w:rsidRDefault="002217F8" w:rsidP="002217F8">
      <w:pPr>
        <w:pStyle w:val="a3"/>
        <w:numPr>
          <w:ilvl w:val="0"/>
          <w:numId w:val="1"/>
        </w:numPr>
        <w:tabs>
          <w:tab w:val="left" w:pos="1134"/>
        </w:tabs>
        <w:ind w:left="0" w:firstLine="851"/>
      </w:pPr>
      <w:r w:rsidRPr="002217F8">
        <w:t>Социально-экономическая модернизация предполагает формирование трудовой мотивации к ответственной и инициативной работе</w:t>
      </w:r>
    </w:p>
    <w:p w:rsidR="002217F8" w:rsidRDefault="002217F8" w:rsidP="002217F8">
      <w:pPr>
        <w:pStyle w:val="a3"/>
        <w:numPr>
          <w:ilvl w:val="0"/>
          <w:numId w:val="1"/>
        </w:numPr>
        <w:tabs>
          <w:tab w:val="left" w:pos="1134"/>
        </w:tabs>
        <w:ind w:left="0" w:firstLine="851"/>
      </w:pPr>
      <w:r w:rsidRPr="002217F8">
        <w:t>Тесная связь трудовых ценностей с социально-экономическими и культурными особенностями страны делает особенно актуальным их сравнительное межстрановое  изучение</w:t>
      </w:r>
      <w:r w:rsidR="00130F9E">
        <w:t>.</w:t>
      </w:r>
    </w:p>
    <w:p w:rsidR="00573C47" w:rsidRDefault="00130F9E" w:rsidP="00573C47">
      <w:pPr>
        <w:pStyle w:val="a3"/>
        <w:tabs>
          <w:tab w:val="left" w:pos="1134"/>
        </w:tabs>
        <w:ind w:left="0"/>
      </w:pPr>
      <w:r>
        <w:t>Для сравнения трудовых ценностей проведен д</w:t>
      </w:r>
      <w:r w:rsidR="00F16872" w:rsidRPr="00130F9E">
        <w:t>ескриптивный анализ: сравнение средних оценок значимости различн</w:t>
      </w:r>
      <w:r w:rsidR="00573C47">
        <w:t>ых аспектов работы внутри стран.</w:t>
      </w:r>
    </w:p>
    <w:p w:rsidR="00F777AF" w:rsidRPr="00130F9E" w:rsidRDefault="00F16872" w:rsidP="00573C47">
      <w:pPr>
        <w:pStyle w:val="a3"/>
        <w:tabs>
          <w:tab w:val="left" w:pos="1134"/>
        </w:tabs>
        <w:ind w:left="0"/>
      </w:pPr>
      <w:r w:rsidRPr="00130F9E">
        <w:t>Значимости отдельных сторон</w:t>
      </w:r>
    </w:p>
    <w:p w:rsidR="00130F9E" w:rsidRPr="00130F9E" w:rsidRDefault="00130F9E" w:rsidP="00130F9E">
      <w:pPr>
        <w:pStyle w:val="a3"/>
        <w:tabs>
          <w:tab w:val="left" w:pos="1134"/>
        </w:tabs>
        <w:ind w:left="0"/>
      </w:pPr>
      <w:r w:rsidRPr="00130F9E">
        <w:rPr>
          <w:iCs/>
        </w:rPr>
        <w:t xml:space="preserve">Вопрос: «Скажите, пожалуйста, насколько для Вас лично важны при оценке того или иного места работы» (5-ти балльная шкала: </w:t>
      </w:r>
      <w:r w:rsidRPr="00130F9E">
        <w:t>«очень важно-5», «довольно важно-4», «ни то чтобы важно, ни то, чтобы нет-3», «не очень важно-2», «совершенно не важно-1»</w:t>
      </w:r>
      <w:r w:rsidRPr="00130F9E">
        <w:rPr>
          <w:iCs/>
        </w:rPr>
        <w:t>)</w:t>
      </w:r>
    </w:p>
    <w:p w:rsidR="00130F9E" w:rsidRP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lastRenderedPageBreak/>
        <w:t>- гарантии сохранения рабочего места (СТАБИЛЬНОСТЬ)</w:t>
      </w:r>
    </w:p>
    <w:p w:rsidR="00130F9E" w:rsidRP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t>- высокий заработок</w:t>
      </w:r>
    </w:p>
    <w:p w:rsidR="00130F9E" w:rsidRP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t>- хорошие возможности для продвижения (КАРЬЕРА)</w:t>
      </w:r>
    </w:p>
    <w:p w:rsidR="00130F9E" w:rsidRP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t>- чтобы работа была интересной (ИНТЕРЕСНОСТЬ)- возможность работать самостоятельно (АВТОНОМИЯ)- чтобы работа позволяла самостоятельно распоряжаться рабочим</w:t>
      </w:r>
    </w:p>
    <w:p w:rsidR="00130F9E" w:rsidRP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t>временем (ГИБКИЙ ГРАФИК).</w:t>
      </w:r>
    </w:p>
    <w:p w:rsidR="00F777AF" w:rsidRPr="00130F9E" w:rsidRDefault="00F16872" w:rsidP="00130F9E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130F9E">
        <w:t>Отношение людей к труду в целом (как инструмент зарабатывания денег или как самоценность</w:t>
      </w:r>
      <w:r w:rsidRPr="00130F9E">
        <w:rPr>
          <w:b/>
          <w:bCs/>
        </w:rPr>
        <w:t>)</w:t>
      </w:r>
      <w:r w:rsidRPr="00130F9E">
        <w:rPr>
          <w:iCs/>
        </w:rPr>
        <w:t>(5-ти балльная шкала: 5 – полностью согласен; 4 – скорее согласен; 3 – ни согласен, ни не согласен; 2 – скорее не согласен; 1 – совершенно не согласен)</w:t>
      </w:r>
    </w:p>
    <w:p w:rsidR="00130F9E" w:rsidRDefault="00130F9E" w:rsidP="00130F9E">
      <w:pPr>
        <w:pStyle w:val="a3"/>
        <w:tabs>
          <w:tab w:val="left" w:pos="1134"/>
        </w:tabs>
        <w:ind w:left="0"/>
        <w:rPr>
          <w:iCs/>
        </w:rPr>
      </w:pPr>
      <w:r w:rsidRPr="00130F9E">
        <w:rPr>
          <w:iCs/>
        </w:rPr>
        <w:t>Вопрос: «Если говорить в целом, в какой мере Вы согласны или не согласны со следующими высказываниями?</w:t>
      </w:r>
    </w:p>
    <w:p w:rsidR="00130F9E" w:rsidRPr="00130F9E" w:rsidRDefault="00130F9E" w:rsidP="00130F9E">
      <w:pPr>
        <w:tabs>
          <w:tab w:val="left" w:pos="1134"/>
        </w:tabs>
        <w:ind w:firstLine="0"/>
      </w:pPr>
      <w:r w:rsidRPr="00130F9E">
        <w:t>- Работа – это только способ заработать деньги и ничего более</w:t>
      </w:r>
    </w:p>
    <w:p w:rsidR="00130F9E" w:rsidRDefault="00130F9E" w:rsidP="00130F9E">
      <w:pPr>
        <w:pStyle w:val="a3"/>
        <w:tabs>
          <w:tab w:val="left" w:pos="1134"/>
        </w:tabs>
        <w:ind w:left="0" w:firstLine="0"/>
      </w:pPr>
      <w:r w:rsidRPr="00130F9E">
        <w:t>- Я был бы рад работать даже в том случае, если бы не нуждался в деньгах</w:t>
      </w:r>
    </w:p>
    <w:p w:rsidR="001F029D" w:rsidRDefault="001F029D" w:rsidP="001F029D">
      <w:pPr>
        <w:pStyle w:val="a3"/>
        <w:tabs>
          <w:tab w:val="left" w:pos="1134"/>
        </w:tabs>
        <w:ind w:left="0"/>
      </w:pPr>
      <w:r>
        <w:t>Результат:</w:t>
      </w:r>
    </w:p>
    <w:p w:rsidR="001F029D" w:rsidRPr="001F029D" w:rsidRDefault="001F029D" w:rsidP="001F029D">
      <w:pPr>
        <w:pStyle w:val="a3"/>
        <w:tabs>
          <w:tab w:val="left" w:pos="1134"/>
        </w:tabs>
        <w:ind w:left="0"/>
      </w:pPr>
      <w:r w:rsidRPr="001F029D">
        <w:t>Значимость высокого заработка в России заметно превышает его значимость во всех остальных странах</w:t>
      </w:r>
    </w:p>
    <w:p w:rsidR="001F029D" w:rsidRPr="001F029D" w:rsidRDefault="001F029D" w:rsidP="001F029D">
      <w:pPr>
        <w:pStyle w:val="a3"/>
        <w:tabs>
          <w:tab w:val="left" w:pos="1134"/>
        </w:tabs>
        <w:ind w:left="0"/>
      </w:pPr>
      <w:r w:rsidRPr="001F029D">
        <w:t>В России значимость всех остальных аспектов работы – гарантий занятости, интересности, карьеры, самостоятельности, возможности распоряжаться своим временем – почти всегда ниже, чем в других странах</w:t>
      </w:r>
    </w:p>
    <w:p w:rsidR="001F029D" w:rsidRPr="001F029D" w:rsidRDefault="001F029D" w:rsidP="001F029D">
      <w:pPr>
        <w:pStyle w:val="a3"/>
        <w:tabs>
          <w:tab w:val="left" w:pos="1134"/>
        </w:tabs>
        <w:ind w:left="0"/>
      </w:pPr>
      <w:r w:rsidRPr="001F029D">
        <w:t>(Как следствие) В России значимость заработка превышает  значимость всех остальных аспектов работы, в том числе и гарантий занятости (для населения любой другой страны гарантии занятости важнее высокого заработка; а в трех группах экономически продвинутых стран впереди заработка идет и интересность работы, причем это опережение существенно)</w:t>
      </w:r>
    </w:p>
    <w:p w:rsidR="001F029D" w:rsidRDefault="001F029D" w:rsidP="00130F9E">
      <w:pPr>
        <w:pStyle w:val="a3"/>
        <w:tabs>
          <w:tab w:val="left" w:pos="1134"/>
        </w:tabs>
        <w:ind w:left="0" w:firstLine="0"/>
      </w:pPr>
    </w:p>
    <w:p w:rsidR="001F029D" w:rsidRDefault="001F029D" w:rsidP="00130F9E">
      <w:pPr>
        <w:pStyle w:val="a3"/>
        <w:tabs>
          <w:tab w:val="left" w:pos="1134"/>
        </w:tabs>
        <w:ind w:left="0" w:firstLine="0"/>
        <w:sectPr w:rsidR="001F029D" w:rsidSect="00BC4DA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30F9E" w:rsidRDefault="00130F9E" w:rsidP="00130F9E">
      <w:pPr>
        <w:pStyle w:val="a3"/>
        <w:keepNext/>
        <w:tabs>
          <w:tab w:val="left" w:pos="1134"/>
        </w:tabs>
        <w:ind w:left="0" w:firstLine="0"/>
      </w:pPr>
      <w:r w:rsidRPr="00130F9E">
        <w:rPr>
          <w:noProof/>
          <w:lang w:eastAsia="ru-RU"/>
        </w:rPr>
        <w:lastRenderedPageBreak/>
        <w:drawing>
          <wp:inline distT="0" distB="0" distL="0" distR="0">
            <wp:extent cx="9182100" cy="3760197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0F9E" w:rsidRPr="00130F9E" w:rsidRDefault="00130F9E" w:rsidP="00130F9E">
      <w:pPr>
        <w:pStyle w:val="a4"/>
        <w:rPr>
          <w:i w:val="0"/>
          <w:color w:val="auto"/>
          <w:sz w:val="24"/>
          <w:szCs w:val="24"/>
        </w:rPr>
      </w:pPr>
      <w:r w:rsidRPr="00130F9E">
        <w:rPr>
          <w:i w:val="0"/>
          <w:color w:val="auto"/>
          <w:sz w:val="24"/>
          <w:szCs w:val="24"/>
        </w:rPr>
        <w:t>Рисунок1.Ценностные профили России и других стран (1 – совершенно не важно, 5- очень важно)</w:t>
      </w:r>
    </w:p>
    <w:p w:rsidR="00130F9E" w:rsidRDefault="00130F9E" w:rsidP="00130F9E">
      <w:pPr>
        <w:keepNext/>
        <w:ind w:firstLine="0"/>
      </w:pPr>
      <w:r w:rsidRPr="00130F9E">
        <w:rPr>
          <w:noProof/>
          <w:lang w:eastAsia="ru-RU"/>
        </w:rPr>
        <w:lastRenderedPageBreak/>
        <w:drawing>
          <wp:inline distT="0" distB="0" distL="0" distR="0">
            <wp:extent cx="9401175" cy="44481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0F9E" w:rsidRDefault="00130F9E" w:rsidP="00130F9E">
      <w:pPr>
        <w:pStyle w:val="a4"/>
        <w:rPr>
          <w:i w:val="0"/>
          <w:color w:val="auto"/>
          <w:sz w:val="24"/>
          <w:szCs w:val="24"/>
        </w:rPr>
      </w:pPr>
      <w:r w:rsidRPr="00130F9E">
        <w:rPr>
          <w:i w:val="0"/>
          <w:color w:val="auto"/>
          <w:sz w:val="24"/>
          <w:szCs w:val="24"/>
        </w:rPr>
        <w:t xml:space="preserve">Рисунок 2 «Работа – только способ заработать деньги» </w:t>
      </w:r>
      <w:r w:rsidRPr="00130F9E">
        <w:rPr>
          <w:i w:val="0"/>
          <w:color w:val="auto"/>
          <w:sz w:val="24"/>
          <w:szCs w:val="24"/>
          <w:lang w:val="en-US"/>
        </w:rPr>
        <w:t>VS</w:t>
      </w:r>
      <w:r w:rsidRPr="00130F9E">
        <w:rPr>
          <w:i w:val="0"/>
          <w:color w:val="auto"/>
          <w:sz w:val="24"/>
          <w:szCs w:val="24"/>
        </w:rPr>
        <w:t xml:space="preserve"> «Был бы рад работать даже, если бы не нуждался в деньгах»</w:t>
      </w:r>
    </w:p>
    <w:p w:rsidR="00573C47" w:rsidRDefault="00573C47" w:rsidP="00573C47">
      <w:pPr>
        <w:sectPr w:rsidR="00573C47" w:rsidSect="00130F9E">
          <w:pgSz w:w="16838" w:h="11906" w:orient="landscape"/>
          <w:pgMar w:top="1701" w:right="1134" w:bottom="284" w:left="1134" w:header="708" w:footer="708" w:gutter="0"/>
          <w:cols w:space="708"/>
          <w:docGrid w:linePitch="381"/>
        </w:sectPr>
      </w:pPr>
    </w:p>
    <w:p w:rsidR="00F777AF" w:rsidRPr="00573C47" w:rsidRDefault="00573C47" w:rsidP="00573C47">
      <w:r>
        <w:lastRenderedPageBreak/>
        <w:t>И</w:t>
      </w:r>
      <w:r w:rsidR="00F16872" w:rsidRPr="00573C47">
        <w:t>звестно, что в России адаптация рынка труда идёт через колебания зарплаты при стабильной занятости, в мире – наоборот. Иными словами, у нас в случае колебаний выпуска и доходов работодатель чаще всего не увольняет/нанимает работников, а снижает/повышает им зарплату. Слайд Получается</w:t>
      </w:r>
      <w:r w:rsidR="00F16872" w:rsidRPr="00573C47">
        <w:rPr>
          <w:b/>
          <w:bCs/>
          <w:i/>
          <w:iCs/>
        </w:rPr>
        <w:t xml:space="preserve">гибкая зарплата и стабильная занятость! </w:t>
      </w:r>
      <w:r w:rsidR="00F16872" w:rsidRPr="00573C47">
        <w:t xml:space="preserve"> А раз так, то работник в России, естественно, больше, чем в других странах, беспокоится о заработке и меньше (или сопоставимо с другими странами) – о сохранении места работы. </w:t>
      </w:r>
    </w:p>
    <w:p w:rsidR="00F777AF" w:rsidRDefault="00F16872" w:rsidP="00573C47">
      <w:r w:rsidRPr="00573C47">
        <w:t xml:space="preserve">Известно также, что в России заработок не определяется жестко профессией и квалификацией работника (что характерно для большинства стран с рыночной экономикой), в нем очень велика составляющая, которая определяется финансовым состоянием фирмы. Отсюда – высокая дисперсия заработков у носителей одной и той же профессии и квалификации, и значит, более сильное, чем в других странах, стремление российского работника «искать» зарплату там, где она выше, а не добиваться её через более упорный и самостоятельный труд, и через карьерное продвижение у </w:t>
      </w:r>
      <w:r w:rsidRPr="00573C47">
        <w:rPr>
          <w:b/>
          <w:bCs/>
          <w:i/>
          <w:iCs/>
        </w:rPr>
        <w:t>нынешнего</w:t>
      </w:r>
      <w:r w:rsidRPr="00573C47">
        <w:t xml:space="preserve"> работодателя (что мы и наблюдаем в результатах анализа трудовых ценностей). </w:t>
      </w:r>
    </w:p>
    <w:p w:rsidR="00573C47" w:rsidRPr="00573C47" w:rsidRDefault="00573C47" w:rsidP="00573C47">
      <w:r w:rsidRPr="00573C47">
        <w:t xml:space="preserve">Повышенная, в сравнении с жителями других стран, значимость заработка для россиян (в ущерб интересу и самореализации) связана также с высокой степенью неудовлетворенности материальным положением и справедливостью оплаты труда (это наглядно демонстрируют </w:t>
      </w:r>
      <w:r>
        <w:t>Рис 3, 4</w:t>
      </w:r>
      <w:r w:rsidRPr="00573C47">
        <w:t>)</w:t>
      </w:r>
      <w:r>
        <w:t>.</w:t>
      </w:r>
      <w:r w:rsidR="00B513F9">
        <w:rPr>
          <w:rStyle w:val="ab"/>
        </w:rPr>
        <w:footnoteReference w:id="2"/>
      </w:r>
    </w:p>
    <w:p w:rsidR="00B513F9" w:rsidRDefault="00B513F9" w:rsidP="00573C47">
      <w:pPr>
        <w:ind w:firstLine="0"/>
        <w:rPr>
          <w:b/>
          <w:bCs/>
        </w:rPr>
      </w:pPr>
    </w:p>
    <w:p w:rsidR="00573C47" w:rsidRDefault="00573C47" w:rsidP="00B513F9">
      <w:pPr>
        <w:ind w:firstLine="0"/>
        <w:sectPr w:rsidR="00573C47" w:rsidSect="00573C4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513F9" w:rsidRDefault="00573C47" w:rsidP="00B513F9">
      <w:pPr>
        <w:keepNext/>
        <w:ind w:firstLine="0"/>
        <w:rPr>
          <w:i/>
          <w:sz w:val="24"/>
          <w:szCs w:val="24"/>
        </w:rPr>
      </w:pPr>
      <w:r w:rsidRPr="00573C47">
        <w:rPr>
          <w:noProof/>
          <w:lang w:eastAsia="ru-RU"/>
        </w:rPr>
        <w:lastRenderedPageBreak/>
        <w:drawing>
          <wp:inline distT="0" distB="0" distL="0" distR="0">
            <wp:extent cx="9096375" cy="46767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73C47">
        <w:rPr>
          <w:i/>
          <w:sz w:val="24"/>
          <w:szCs w:val="24"/>
        </w:rPr>
        <w:t>Рисунок 3 «Жить на такой доход очень трудно», %</w:t>
      </w:r>
    </w:p>
    <w:p w:rsidR="00B513F9" w:rsidRDefault="00B513F9" w:rsidP="00B513F9">
      <w:pPr>
        <w:keepNext/>
        <w:ind w:firstLine="0"/>
      </w:pPr>
      <w:r w:rsidRPr="00B513F9">
        <w:rPr>
          <w:noProof/>
          <w:lang w:eastAsia="ru-RU"/>
        </w:rPr>
        <w:lastRenderedPageBreak/>
        <w:drawing>
          <wp:inline distT="0" distB="0" distL="0" distR="0">
            <wp:extent cx="9029700" cy="49720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13F9" w:rsidRDefault="00B513F9" w:rsidP="00B513F9">
      <w:pPr>
        <w:pStyle w:val="a4"/>
        <w:rPr>
          <w:i w:val="0"/>
          <w:color w:val="auto"/>
          <w:sz w:val="24"/>
          <w:szCs w:val="24"/>
        </w:rPr>
      </w:pPr>
      <w:r w:rsidRPr="00B513F9">
        <w:rPr>
          <w:i w:val="0"/>
          <w:color w:val="auto"/>
          <w:sz w:val="24"/>
          <w:szCs w:val="24"/>
        </w:rPr>
        <w:t>Рисунок 4 «Моя заработная плата соответствует затрачиваемым усилиям и успехам, которых я достиг на работе»,%</w:t>
      </w:r>
      <w:r w:rsidRPr="00B513F9">
        <w:rPr>
          <w:b/>
          <w:bCs/>
          <w:i w:val="0"/>
          <w:color w:val="auto"/>
          <w:sz w:val="24"/>
          <w:szCs w:val="24"/>
        </w:rPr>
        <w:t>НЕ</w:t>
      </w:r>
      <w:r w:rsidRPr="00B513F9">
        <w:rPr>
          <w:i w:val="0"/>
          <w:color w:val="auto"/>
          <w:sz w:val="24"/>
          <w:szCs w:val="24"/>
        </w:rPr>
        <w:t>согласных,</w:t>
      </w:r>
    </w:p>
    <w:p w:rsidR="00B513F9" w:rsidRDefault="00B513F9" w:rsidP="00B513F9">
      <w:pPr>
        <w:sectPr w:rsidR="00B513F9" w:rsidSect="00B513F9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6C79A7" w:rsidRDefault="006C79A7" w:rsidP="00B513F9">
      <w:r>
        <w:rPr>
          <w:b/>
          <w:sz w:val="24"/>
        </w:rPr>
        <w:lastRenderedPageBreak/>
        <w:t xml:space="preserve">Таблица1.Трисамыхраспространенныхпричиныстаратьсяхорошоработатьдлязанятыхпонаймуреспондентов из26 европейских стран, </w:t>
      </w:r>
      <w:r>
        <w:rPr>
          <w:b/>
        </w:rPr>
        <w:t>N=19367 чел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2369"/>
        <w:gridCol w:w="1648"/>
        <w:gridCol w:w="1455"/>
        <w:gridCol w:w="1987"/>
        <w:gridCol w:w="845"/>
      </w:tblGrid>
      <w:tr w:rsidR="00521ADA" w:rsidRPr="00A0173A" w:rsidTr="00521ADA">
        <w:trPr>
          <w:cantSplit/>
          <w:trHeight w:val="2077"/>
        </w:trPr>
        <w:tc>
          <w:tcPr>
            <w:tcW w:w="696" w:type="pct"/>
          </w:tcPr>
          <w:p w:rsidR="006C79A7" w:rsidRPr="002D6091" w:rsidRDefault="006C79A7" w:rsidP="0096103B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C79A7" w:rsidRPr="00A0173A" w:rsidRDefault="006C79A7" w:rsidP="0096103B">
            <w:pPr>
              <w:pStyle w:val="TableParagraph"/>
              <w:spacing w:before="159"/>
              <w:ind w:left="705" w:right="189" w:hanging="4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</w:rPr>
              <w:t>Перваяпочастотепричина</w:t>
            </w:r>
          </w:p>
        </w:tc>
        <w:tc>
          <w:tcPr>
            <w:tcW w:w="854" w:type="pct"/>
          </w:tcPr>
          <w:p w:rsidR="006C79A7" w:rsidRPr="00A0173A" w:rsidRDefault="006C79A7" w:rsidP="0096103B">
            <w:pPr>
              <w:pStyle w:val="TableParagraph"/>
              <w:spacing w:before="159"/>
              <w:ind w:left="647" w:right="145" w:hanging="4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</w:rPr>
              <w:t>Втораяпочастотепричина</w:t>
            </w:r>
          </w:p>
        </w:tc>
        <w:tc>
          <w:tcPr>
            <w:tcW w:w="754" w:type="pct"/>
          </w:tcPr>
          <w:p w:rsidR="006C79A7" w:rsidRPr="00A0173A" w:rsidRDefault="006C79A7" w:rsidP="0096103B">
            <w:pPr>
              <w:pStyle w:val="TableParagraph"/>
              <w:ind w:left="152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</w:rPr>
              <w:t>Третьяпочастотепричина</w:t>
            </w:r>
          </w:p>
        </w:tc>
        <w:tc>
          <w:tcPr>
            <w:tcW w:w="1030" w:type="pct"/>
            <w:textDirection w:val="btLr"/>
          </w:tcPr>
          <w:p w:rsidR="006C79A7" w:rsidRPr="00A0173A" w:rsidRDefault="006C79A7" w:rsidP="0096103B">
            <w:pPr>
              <w:pStyle w:val="TableParagraph"/>
              <w:ind w:left="202" w:right="19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«Моя зарплатасоответствует</w:t>
            </w:r>
          </w:p>
          <w:p w:rsidR="006C79A7" w:rsidRPr="00A0173A" w:rsidRDefault="006C79A7" w:rsidP="0096103B">
            <w:pPr>
              <w:pStyle w:val="TableParagraph"/>
              <w:ind w:left="106" w:right="101" w:firstLine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затрачиваемыммной усилиям ирезультатаммоей работы» (5-полностью</w:t>
            </w:r>
          </w:p>
          <w:p w:rsidR="006C79A7" w:rsidRPr="00A0173A" w:rsidRDefault="006C79A7" w:rsidP="0096103B">
            <w:pPr>
              <w:pStyle w:val="TableParagraph"/>
              <w:spacing w:line="252" w:lineRule="exact"/>
              <w:ind w:left="201" w:right="19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согласен,1-</w:t>
            </w:r>
          </w:p>
          <w:p w:rsidR="006C79A7" w:rsidRPr="00A0173A" w:rsidRDefault="006C79A7" w:rsidP="0096103B">
            <w:pPr>
              <w:pStyle w:val="TableParagraph"/>
              <w:ind w:left="202" w:right="19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совершенно несогласен),средние</w:t>
            </w:r>
          </w:p>
          <w:p w:rsidR="006C79A7" w:rsidRPr="00A0173A" w:rsidRDefault="006C79A7" w:rsidP="0096103B">
            <w:pPr>
              <w:pStyle w:val="TableParagraph"/>
              <w:spacing w:before="1" w:line="233" w:lineRule="exact"/>
              <w:ind w:left="202" w:right="19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значения***</w:t>
            </w:r>
          </w:p>
        </w:tc>
        <w:tc>
          <w:tcPr>
            <w:tcW w:w="438" w:type="pct"/>
          </w:tcPr>
          <w:p w:rsidR="006C79A7" w:rsidRPr="00A0173A" w:rsidRDefault="006C79A7" w:rsidP="0096103B">
            <w:pPr>
              <w:pStyle w:val="TableParagraph"/>
              <w:ind w:left="129" w:right="-29"/>
              <w:rPr>
                <w:rFonts w:ascii="Times New Roman" w:hAnsi="Times New Roman"/>
                <w:b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sz w:val="24"/>
                <w:szCs w:val="24"/>
              </w:rPr>
              <w:t>(N)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Швеция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A0173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Результат(80)</w:t>
            </w:r>
            <w:r w:rsidR="00A0173A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Интерес(39)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Полезность(37)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1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Результат(77)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Интерес(40)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Полезность(36)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Финляндия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1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Результат(73)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A0173A">
            <w:pPr>
              <w:pStyle w:val="TableParagraph"/>
              <w:spacing w:line="256" w:lineRule="exact"/>
              <w:ind w:left="118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Полезность</w:t>
            </w:r>
            <w:r w:rsidR="00A0173A">
              <w:rPr>
                <w:rStyle w:val="ab"/>
                <w:rFonts w:ascii="Times New Roman" w:hAnsi="Times New Roman"/>
                <w:i/>
                <w:sz w:val="24"/>
                <w:szCs w:val="24"/>
              </w:rPr>
              <w:footnoteReference w:id="4"/>
            </w: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(35)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52" w:right="147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Интерес(34)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  <w:tr w:rsidR="00521ADA" w:rsidRPr="00A0173A" w:rsidTr="00521ADA">
        <w:trPr>
          <w:trHeight w:val="278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Результат(57)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Интерес(49)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Полезность(41)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Результат(62)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Интерес(52)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Полезность(42)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Результат(56)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Интерес(39)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Полезность(35)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Швейцария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Результат(65)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Интерес(50)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Полезность(33)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5" w:right="106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Результат(52)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5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Интерес(52)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Полезность(34)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Результат(66)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Занятость(42)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Интерес(29)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1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Британия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Результат(69)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Занятость(35)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Полезность(31)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1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</w:tr>
      <w:tr w:rsidR="00521ADA" w:rsidRPr="00A0173A" w:rsidTr="00521ADA">
        <w:trPr>
          <w:trHeight w:val="278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Ирландия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5" w:right="106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Результат(56)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5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Занятость(50)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Полезность(30)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Результат(74)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Занятость(46)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52" w:right="148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Долг(30)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Португалия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Занятость(65)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Результат(52)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91" w:right="8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Полезность(27)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Занятость(64)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Долг(39)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Результат(27)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</w:tr>
      <w:tr w:rsidR="00521ADA" w:rsidRPr="00A0173A" w:rsidTr="00521ADA">
        <w:trPr>
          <w:trHeight w:val="275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6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Кипр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Занятость(54)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14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Долг(49)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Результат(27)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6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521ADA" w:rsidRPr="00A0173A" w:rsidTr="00521ADA">
        <w:trPr>
          <w:trHeight w:val="906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96103B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Занятость(52)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69"/>
              <w:ind w:left="165" w:right="150" w:firstLine="362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Заработок/продвижение(33)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Результат(31)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spacing w:before="1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521ADA" w:rsidRPr="00A0173A" w:rsidTr="00521ADA">
        <w:trPr>
          <w:trHeight w:val="277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line="25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Словения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Результат(68)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Занятость(37)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152" w:right="148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Долг(25)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5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</w:tr>
      <w:tr w:rsidR="00521ADA" w:rsidRPr="00A0173A" w:rsidTr="00521ADA">
        <w:trPr>
          <w:trHeight w:val="552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96103B">
            <w:pPr>
              <w:pStyle w:val="TableParagraph"/>
              <w:spacing w:before="1" w:line="264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Хорватия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Занятость(62)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16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продвижение(35)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Результат(35)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521ADA" w:rsidRPr="00A0173A" w:rsidTr="00521ADA">
        <w:trPr>
          <w:trHeight w:val="827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96103B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13" w:right="106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Результат(46)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15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Занятость(45)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ind w:left="246" w:right="239" w:firstLine="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Заработок/продвижение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52" w:right="148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2,7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521ADA" w:rsidRPr="00A0173A" w:rsidTr="00521ADA">
        <w:trPr>
          <w:trHeight w:val="551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96103B">
            <w:pPr>
              <w:pStyle w:val="TableParagraph"/>
              <w:spacing w:line="264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Эстония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28"/>
              <w:ind w:left="115" w:right="106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Результат(36)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28"/>
              <w:ind w:left="115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Занятость(34)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51" w:right="148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Полезность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51" w:right="148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(33)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3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5" w:lineRule="exact"/>
              <w:ind w:right="482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</w:tr>
      <w:tr w:rsidR="00521ADA" w:rsidRPr="00A0173A" w:rsidTr="00521ADA">
        <w:trPr>
          <w:trHeight w:val="827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96103B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13" w:right="106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Занятость(56)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118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Результат(48)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52" w:right="147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</w:t>
            </w:r>
          </w:p>
          <w:p w:rsidR="006C79A7" w:rsidRPr="00A0173A" w:rsidRDefault="006C79A7" w:rsidP="00521ADA">
            <w:pPr>
              <w:pStyle w:val="TableParagraph"/>
              <w:spacing w:line="270" w:lineRule="atLeast"/>
              <w:ind w:left="152" w:right="14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продвижение(28)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9A7" w:rsidRPr="00A0173A" w:rsidRDefault="006C79A7" w:rsidP="00521ADA">
            <w:pPr>
              <w:pStyle w:val="TableParagraph"/>
              <w:ind w:left="8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b/>
                <w:i/>
                <w:sz w:val="24"/>
                <w:szCs w:val="24"/>
              </w:rPr>
              <w:t>2,8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  <w:tr w:rsidR="00521ADA" w:rsidRPr="00A0173A" w:rsidTr="00521ADA">
        <w:trPr>
          <w:trHeight w:val="551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131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Занятость(63)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продвижение(48)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52" w:right="148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Результат(26)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5" w:lineRule="exact"/>
              <w:ind w:right="427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</w:tr>
      <w:tr w:rsidR="00521ADA" w:rsidRPr="00A0173A" w:rsidTr="00521ADA">
        <w:trPr>
          <w:trHeight w:val="551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131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Занятость(54)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left="114" w:righ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Заработок/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продвижение(35)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91" w:right="83"/>
              <w:rPr>
                <w:rFonts w:ascii="Times New Roman" w:hAnsi="Times New Roman"/>
                <w:i/>
                <w:sz w:val="24"/>
                <w:szCs w:val="24"/>
              </w:rPr>
            </w:pPr>
            <w:r w:rsidRPr="00A0173A">
              <w:rPr>
                <w:rFonts w:ascii="Times New Roman" w:hAnsi="Times New Roman"/>
                <w:i/>
                <w:sz w:val="24"/>
                <w:szCs w:val="24"/>
              </w:rPr>
              <w:t>Результат(33)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71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</w:tr>
      <w:tr w:rsidR="00521ADA" w:rsidRPr="00A0173A" w:rsidTr="00521ADA">
        <w:trPr>
          <w:trHeight w:val="553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131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Занятость(57)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70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Заработок/</w:t>
            </w:r>
          </w:p>
          <w:p w:rsidR="006C79A7" w:rsidRPr="00A0173A" w:rsidRDefault="006C79A7" w:rsidP="00521ADA">
            <w:pPr>
              <w:pStyle w:val="TableParagraph"/>
              <w:spacing w:line="264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продвижение(45)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Результат(35)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82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6C79A7" w:rsidRPr="00A0173A" w:rsidTr="00521ADA">
        <w:trPr>
          <w:trHeight w:val="553"/>
        </w:trPr>
        <w:tc>
          <w:tcPr>
            <w:tcW w:w="696" w:type="pct"/>
          </w:tcPr>
          <w:p w:rsidR="006C79A7" w:rsidRPr="00A0173A" w:rsidRDefault="006C79A7" w:rsidP="0096103B">
            <w:pPr>
              <w:pStyle w:val="TableParagraph"/>
              <w:spacing w:before="131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227" w:type="pct"/>
            <w:vAlign w:val="center"/>
          </w:tcPr>
          <w:p w:rsidR="006C79A7" w:rsidRPr="00A0173A" w:rsidRDefault="006C79A7" w:rsidP="0052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A">
              <w:rPr>
                <w:rFonts w:ascii="Times New Roman" w:hAnsi="Times New Roman" w:cs="Times New Roman"/>
                <w:sz w:val="24"/>
                <w:szCs w:val="24"/>
              </w:rPr>
              <w:t>Заработок/</w:t>
            </w:r>
            <w:r w:rsidR="00521ADA" w:rsidRPr="00A0173A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  <w:p w:rsidR="006C79A7" w:rsidRPr="00A0173A" w:rsidRDefault="006C79A7" w:rsidP="00521ADA">
            <w:pPr>
              <w:pStyle w:val="TableParagraph"/>
              <w:spacing w:before="131"/>
              <w:ind w:left="114" w:right="10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ение (50)</w:t>
            </w:r>
          </w:p>
        </w:tc>
        <w:tc>
          <w:tcPr>
            <w:tcW w:w="854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70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 (37)</w:t>
            </w:r>
          </w:p>
        </w:tc>
        <w:tc>
          <w:tcPr>
            <w:tcW w:w="754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Полезность (28)</w:t>
            </w:r>
          </w:p>
        </w:tc>
        <w:tc>
          <w:tcPr>
            <w:tcW w:w="1030" w:type="pct"/>
            <w:vAlign w:val="center"/>
          </w:tcPr>
          <w:p w:rsidR="006C79A7" w:rsidRPr="00A0173A" w:rsidRDefault="006C79A7" w:rsidP="00521ADA">
            <w:pPr>
              <w:pStyle w:val="TableParagraph"/>
              <w:spacing w:before="131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8" w:type="pct"/>
            <w:vAlign w:val="center"/>
          </w:tcPr>
          <w:p w:rsidR="006C79A7" w:rsidRPr="00A0173A" w:rsidRDefault="006C79A7" w:rsidP="00521ADA">
            <w:pPr>
              <w:pStyle w:val="TableParagraph"/>
              <w:spacing w:line="268" w:lineRule="exact"/>
              <w:ind w:right="482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</w:tr>
      <w:tr w:rsidR="00521ADA" w:rsidRPr="00A0173A" w:rsidTr="00521ADA">
        <w:trPr>
          <w:trHeight w:val="553"/>
        </w:trPr>
        <w:tc>
          <w:tcPr>
            <w:tcW w:w="696" w:type="pct"/>
          </w:tcPr>
          <w:p w:rsidR="00521ADA" w:rsidRPr="00A0173A" w:rsidRDefault="00521ADA" w:rsidP="0096103B">
            <w:pPr>
              <w:pStyle w:val="TableParagraph"/>
              <w:spacing w:before="131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pct"/>
            <w:vAlign w:val="center"/>
          </w:tcPr>
          <w:p w:rsidR="00521ADA" w:rsidRPr="00A0173A" w:rsidRDefault="00521ADA" w:rsidP="0052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A">
              <w:rPr>
                <w:rFonts w:ascii="Times New Roman" w:hAnsi="Times New Roman" w:cs="Times New Roman"/>
                <w:sz w:val="24"/>
                <w:szCs w:val="24"/>
              </w:rPr>
              <w:t>Заработок/</w:t>
            </w:r>
          </w:p>
          <w:p w:rsidR="00521ADA" w:rsidRPr="00A0173A" w:rsidRDefault="00521ADA" w:rsidP="0052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A">
              <w:rPr>
                <w:rFonts w:ascii="Times New Roman" w:hAnsi="Times New Roman" w:cs="Times New Roman"/>
                <w:sz w:val="24"/>
                <w:szCs w:val="24"/>
              </w:rPr>
              <w:t>продвижение (56)</w:t>
            </w:r>
          </w:p>
        </w:tc>
        <w:tc>
          <w:tcPr>
            <w:tcW w:w="854" w:type="pct"/>
            <w:vAlign w:val="center"/>
          </w:tcPr>
          <w:p w:rsidR="00521ADA" w:rsidRPr="00A0173A" w:rsidRDefault="00521ADA" w:rsidP="0052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DA" w:rsidRPr="00A0173A" w:rsidRDefault="00521ADA" w:rsidP="00521ADA">
            <w:pPr>
              <w:pStyle w:val="TableParagraph"/>
              <w:spacing w:line="270" w:lineRule="exact"/>
              <w:ind w:left="117" w:right="109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Занятость (32)</w:t>
            </w:r>
          </w:p>
        </w:tc>
        <w:tc>
          <w:tcPr>
            <w:tcW w:w="754" w:type="pct"/>
            <w:vAlign w:val="center"/>
          </w:tcPr>
          <w:p w:rsidR="00521ADA" w:rsidRPr="00A0173A" w:rsidRDefault="00521ADA" w:rsidP="0052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A">
              <w:rPr>
                <w:rFonts w:ascii="Times New Roman" w:hAnsi="Times New Roman" w:cs="Times New Roman"/>
                <w:sz w:val="24"/>
                <w:szCs w:val="24"/>
              </w:rPr>
              <w:t>Полезность</w:t>
            </w:r>
          </w:p>
          <w:p w:rsidR="00521ADA" w:rsidRPr="00A0173A" w:rsidRDefault="00521ADA" w:rsidP="00521ADA">
            <w:pPr>
              <w:pStyle w:val="TableParagraph"/>
              <w:spacing w:before="131"/>
              <w:ind w:left="152" w:right="146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1030" w:type="pct"/>
            <w:vAlign w:val="center"/>
          </w:tcPr>
          <w:p w:rsidR="00521ADA" w:rsidRPr="00A0173A" w:rsidRDefault="00521ADA" w:rsidP="00521ADA">
            <w:pPr>
              <w:pStyle w:val="TableParagraph"/>
              <w:spacing w:before="131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438" w:type="pct"/>
            <w:vAlign w:val="center"/>
          </w:tcPr>
          <w:p w:rsidR="00521ADA" w:rsidRPr="00A0173A" w:rsidRDefault="00521ADA" w:rsidP="00521ADA">
            <w:pPr>
              <w:pStyle w:val="TableParagraph"/>
              <w:spacing w:line="268" w:lineRule="exact"/>
              <w:ind w:right="4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73A">
              <w:rPr>
                <w:rFonts w:ascii="Times New Roman" w:hAnsi="Times New Roman"/>
                <w:sz w:val="24"/>
                <w:szCs w:val="24"/>
              </w:rPr>
              <w:t>123</w:t>
            </w:r>
            <w:r w:rsidRPr="00A017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C79A7" w:rsidRDefault="006C79A7" w:rsidP="006C79A7">
      <w:pPr>
        <w:pStyle w:val="ac"/>
        <w:ind w:left="0"/>
        <w:jc w:val="left"/>
      </w:pPr>
    </w:p>
    <w:p w:rsidR="00B513F9" w:rsidRPr="00B513F9" w:rsidRDefault="00B513F9" w:rsidP="006C79A7">
      <w:r w:rsidRPr="00B513F9">
        <w:t xml:space="preserve">Ощущение депривации и несправедливости, в свою очередь, может порождаться разными причинами. </w:t>
      </w:r>
    </w:p>
    <w:p w:rsidR="00B513F9" w:rsidRPr="00A0173A" w:rsidRDefault="00B513F9" w:rsidP="00B513F9">
      <w:r w:rsidRPr="00A0173A">
        <w:rPr>
          <w:bCs/>
          <w:iCs/>
          <w:u w:val="single"/>
        </w:rPr>
        <w:t>Более общаяпричина</w:t>
      </w:r>
      <w:r w:rsidRPr="00A0173A">
        <w:t xml:space="preserve"> – низкий уровень ВВП на душу населения в России в сравнении с другими рассматриваемыми странами (при сопоставимом уровне притязаний, задаваемом глобальным информационно-маркетинговым пространством) – см. слайд. </w:t>
      </w:r>
    </w:p>
    <w:p w:rsidR="00B513F9" w:rsidRDefault="00B513F9" w:rsidP="00B513F9">
      <w:r w:rsidRPr="00A0173A">
        <w:rPr>
          <w:bCs/>
          <w:iCs/>
          <w:u w:val="single"/>
        </w:rPr>
        <w:t>Более частная причина</w:t>
      </w:r>
      <w:r w:rsidRPr="00B513F9">
        <w:t xml:space="preserve"> связана с упомянутыми особенностями российского рынка труда. Во-первых, высокая доля переменной части заработка, зависящей от возможностей и желания работодателя, делает механизмы формирования заработка непрозрачными для работников и создает ощущение несправедливости. Во-вторых, высокая межфирменная дисперсия заработков побуждает работника устанавливать уровень своих притязаний </w:t>
      </w:r>
      <w:r w:rsidRPr="00B513F9">
        <w:lastRenderedPageBreak/>
        <w:t>ближе к верхней границе диапазона заработков, что тоже способству</w:t>
      </w:r>
      <w:r>
        <w:t>ет накоплению неудовлетвореннос</w:t>
      </w:r>
      <w:r w:rsidRPr="00B513F9">
        <w:t>ти</w:t>
      </w:r>
      <w:r>
        <w:t>.</w:t>
      </w:r>
    </w:p>
    <w:p w:rsidR="00B513F9" w:rsidRPr="00B513F9" w:rsidRDefault="00B513F9" w:rsidP="00B513F9">
      <w:r w:rsidRPr="00B513F9">
        <w:t>Установлено, что экономически активное население России опережает население других стран по значимости заработка и почти во всех случаях отстает по значимости остальных трудовых ценностей. Этот результат, обнаруженный первоначально при сравнении страновых средних, подтверждается и по итогам регрессионного анализа, выполненного на уровне индивидов при контроле социально-демографического состава населения.</w:t>
      </w:r>
    </w:p>
    <w:p w:rsidR="00B513F9" w:rsidRDefault="00B513F9" w:rsidP="00B513F9">
      <w:r w:rsidRPr="00B513F9">
        <w:t>Объяснение обнаруженных фактов строится с учетом отставания России от сравниваемых с ней стран по уровню жизни, а также особенностей российской модели рынка труда</w:t>
      </w:r>
      <w:r>
        <w:t>.</w:t>
      </w:r>
    </w:p>
    <w:p w:rsidR="00496914" w:rsidRPr="00B513F9" w:rsidRDefault="00496914" w:rsidP="00B513F9"/>
    <w:sectPr w:rsidR="00496914" w:rsidRPr="00B513F9" w:rsidSect="00B513F9">
      <w:pgSz w:w="11906" w:h="16838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51" w:rsidRDefault="002A6751" w:rsidP="00573C47">
      <w:pPr>
        <w:spacing w:line="240" w:lineRule="auto"/>
      </w:pPr>
      <w:r>
        <w:separator/>
      </w:r>
    </w:p>
  </w:endnote>
  <w:endnote w:type="continuationSeparator" w:id="1">
    <w:p w:rsidR="002A6751" w:rsidRDefault="002A6751" w:rsidP="00573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797644"/>
      <w:docPartObj>
        <w:docPartGallery w:val="Page Numbers (Bottom of Page)"/>
        <w:docPartUnique/>
      </w:docPartObj>
    </w:sdtPr>
    <w:sdtContent>
      <w:p w:rsidR="00BC4DAC" w:rsidRDefault="00AC32EF">
        <w:pPr>
          <w:pStyle w:val="a7"/>
          <w:jc w:val="right"/>
        </w:pPr>
        <w:r>
          <w:fldChar w:fldCharType="begin"/>
        </w:r>
        <w:r w:rsidR="00BC4DAC">
          <w:instrText>PAGE   \* MERGEFORMAT</w:instrText>
        </w:r>
        <w:r>
          <w:fldChar w:fldCharType="separate"/>
        </w:r>
        <w:r w:rsidR="00AB322F">
          <w:rPr>
            <w:noProof/>
          </w:rPr>
          <w:t>10</w:t>
        </w:r>
        <w:r>
          <w:fldChar w:fldCharType="end"/>
        </w:r>
      </w:p>
    </w:sdtContent>
  </w:sdt>
  <w:p w:rsidR="00BC4DAC" w:rsidRDefault="00BC4D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51" w:rsidRDefault="002A6751" w:rsidP="00573C47">
      <w:pPr>
        <w:spacing w:line="240" w:lineRule="auto"/>
      </w:pPr>
      <w:r>
        <w:separator/>
      </w:r>
    </w:p>
  </w:footnote>
  <w:footnote w:type="continuationSeparator" w:id="1">
    <w:p w:rsidR="002A6751" w:rsidRDefault="002A6751" w:rsidP="00573C47">
      <w:pPr>
        <w:spacing w:line="240" w:lineRule="auto"/>
      </w:pPr>
      <w:r>
        <w:continuationSeparator/>
      </w:r>
    </w:p>
  </w:footnote>
  <w:footnote w:id="2">
    <w:p w:rsidR="00B513F9" w:rsidRDefault="00B513F9">
      <w:pPr>
        <w:pStyle w:val="a9"/>
      </w:pPr>
      <w:r>
        <w:rPr>
          <w:rStyle w:val="ab"/>
        </w:rPr>
        <w:footnoteRef/>
      </w:r>
      <w:r w:rsidRPr="00B513F9">
        <w:rPr>
          <w:bCs/>
        </w:rPr>
        <w:t>Анализ российской модели рынка труда предпринят в работах В.Е. Гимпельсона и Р.И. Капелюшникова</w:t>
      </w:r>
    </w:p>
  </w:footnote>
  <w:footnote w:id="3">
    <w:p w:rsidR="00A0173A" w:rsidRDefault="00A0173A" w:rsidP="00A0173A">
      <w:pPr>
        <w:spacing w:line="240" w:lineRule="auto"/>
        <w:ind w:left="660" w:right="309"/>
        <w:rPr>
          <w:i/>
          <w:sz w:val="20"/>
        </w:rPr>
      </w:pPr>
      <w:r>
        <w:rPr>
          <w:rStyle w:val="ab"/>
        </w:rPr>
        <w:footnoteRef/>
      </w:r>
      <w:r>
        <w:rPr>
          <w:i/>
          <w:sz w:val="20"/>
        </w:rPr>
        <w:t>Вскобкахуказаныдолиреспондентов(в%),выбравшиеданнуюпричину(вкачествеосновнойиливторойповажности</w:t>
      </w:r>
    </w:p>
    <w:p w:rsidR="00A0173A" w:rsidRDefault="00A0173A" w:rsidP="00A0173A">
      <w:pPr>
        <w:pStyle w:val="a9"/>
      </w:pPr>
    </w:p>
  </w:footnote>
  <w:footnote w:id="4">
    <w:p w:rsidR="00A0173A" w:rsidRDefault="00A0173A" w:rsidP="00A0173A">
      <w:pPr>
        <w:spacing w:line="240" w:lineRule="auto"/>
        <w:ind w:left="660" w:right="976"/>
        <w:rPr>
          <w:i/>
          <w:sz w:val="20"/>
        </w:rPr>
      </w:pPr>
      <w:r>
        <w:rPr>
          <w:rStyle w:val="ab"/>
        </w:rPr>
        <w:footnoteRef/>
      </w:r>
      <w:r>
        <w:rPr>
          <w:i/>
          <w:sz w:val="20"/>
        </w:rPr>
        <w:t>Курсивом выделены ценности, различия между приоритетностью которых в данной стране статистическинезначимы</w:t>
      </w:r>
    </w:p>
    <w:p w:rsidR="00A0173A" w:rsidRDefault="00A0173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FE7"/>
    <w:multiLevelType w:val="hybridMultilevel"/>
    <w:tmpl w:val="9ED26874"/>
    <w:lvl w:ilvl="0" w:tplc="BCEAD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65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0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0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08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24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6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00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AD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C7AE4"/>
    <w:multiLevelType w:val="hybridMultilevel"/>
    <w:tmpl w:val="BE36D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C0F5D"/>
    <w:multiLevelType w:val="hybridMultilevel"/>
    <w:tmpl w:val="2F1A7C80"/>
    <w:lvl w:ilvl="0" w:tplc="BDDA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01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48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26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20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CA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28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C9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8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37097B"/>
    <w:multiLevelType w:val="hybridMultilevel"/>
    <w:tmpl w:val="ACA24EB8"/>
    <w:lvl w:ilvl="0" w:tplc="5A840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8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4B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1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2E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8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4D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E1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4D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AC28DF"/>
    <w:multiLevelType w:val="hybridMultilevel"/>
    <w:tmpl w:val="7CE028F6"/>
    <w:lvl w:ilvl="0" w:tplc="EEFE1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E2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6A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A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25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A4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8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C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82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8B1B4D"/>
    <w:multiLevelType w:val="hybridMultilevel"/>
    <w:tmpl w:val="B8BE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7F8"/>
    <w:rsid w:val="00130F9E"/>
    <w:rsid w:val="001C5546"/>
    <w:rsid w:val="001F029D"/>
    <w:rsid w:val="002217F8"/>
    <w:rsid w:val="002A6751"/>
    <w:rsid w:val="002D6091"/>
    <w:rsid w:val="00496914"/>
    <w:rsid w:val="00521ADA"/>
    <w:rsid w:val="00573C47"/>
    <w:rsid w:val="006C79A7"/>
    <w:rsid w:val="00776935"/>
    <w:rsid w:val="00A0173A"/>
    <w:rsid w:val="00AB322F"/>
    <w:rsid w:val="00AC32EF"/>
    <w:rsid w:val="00B513F9"/>
    <w:rsid w:val="00B63761"/>
    <w:rsid w:val="00BC4DAC"/>
    <w:rsid w:val="00C35961"/>
    <w:rsid w:val="00ED6C9B"/>
    <w:rsid w:val="00F16872"/>
    <w:rsid w:val="00F7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F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30F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C4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C47"/>
  </w:style>
  <w:style w:type="paragraph" w:styleId="a7">
    <w:name w:val="footer"/>
    <w:basedOn w:val="a"/>
    <w:link w:val="a8"/>
    <w:uiPriority w:val="99"/>
    <w:unhideWhenUsed/>
    <w:rsid w:val="00573C4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C47"/>
  </w:style>
  <w:style w:type="paragraph" w:styleId="a9">
    <w:name w:val="footnote text"/>
    <w:basedOn w:val="a"/>
    <w:link w:val="aa"/>
    <w:uiPriority w:val="99"/>
    <w:semiHidden/>
    <w:unhideWhenUsed/>
    <w:rsid w:val="00B513F9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13F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513F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9A7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9A7"/>
    <w:pPr>
      <w:widowControl w:val="0"/>
      <w:autoSpaceDE w:val="0"/>
      <w:autoSpaceDN w:val="0"/>
      <w:spacing w:line="240" w:lineRule="auto"/>
      <w:ind w:firstLine="0"/>
      <w:jc w:val="center"/>
    </w:pPr>
    <w:rPr>
      <w:rFonts w:eastAsia="Times New Roman" w:cs="Times New Roman"/>
      <w:sz w:val="22"/>
    </w:rPr>
  </w:style>
  <w:style w:type="paragraph" w:styleId="ac">
    <w:name w:val="Body Text"/>
    <w:basedOn w:val="a"/>
    <w:link w:val="ad"/>
    <w:uiPriority w:val="1"/>
    <w:qFormat/>
    <w:rsid w:val="006C79A7"/>
    <w:pPr>
      <w:widowControl w:val="0"/>
      <w:autoSpaceDE w:val="0"/>
      <w:autoSpaceDN w:val="0"/>
      <w:spacing w:line="240" w:lineRule="auto"/>
      <w:ind w:left="660" w:firstLine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C79A7"/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6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889918887601455E-2"/>
          <c:y val="5.2325581395348909E-2"/>
          <c:w val="0.92468134414831982"/>
          <c:h val="0.50968992248062062"/>
        </c:manualLayout>
      </c:layout>
      <c:barChart>
        <c:barDir val="col"/>
        <c:grouping val="clustered"/>
        <c:ser>
          <c:idx val="0"/>
          <c:order val="0"/>
          <c:tx>
            <c:strRef>
              <c:f>Лист3!$F$44</c:f>
              <c:strCache>
                <c:ptCount val="1"/>
                <c:pt idx="0">
                  <c:v>интерес</c:v>
                </c:pt>
              </c:strCache>
            </c:strRef>
          </c:tx>
          <c:spPr>
            <a:solidFill>
              <a:srgbClr val="00FFFF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Лист3!$F$45:$F$50</c:f>
              <c:numCache>
                <c:formatCode>General</c:formatCode>
                <c:ptCount val="6"/>
                <c:pt idx="0">
                  <c:v>4.3</c:v>
                </c:pt>
                <c:pt idx="1">
                  <c:v>4.5</c:v>
                </c:pt>
                <c:pt idx="2">
                  <c:v>4.5</c:v>
                </c:pt>
                <c:pt idx="3">
                  <c:v>4.5</c:v>
                </c:pt>
                <c:pt idx="4">
                  <c:v>4.3</c:v>
                </c:pt>
                <c:pt idx="5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0A-45EE-87F8-7DB61DD98C21}"/>
            </c:ext>
          </c:extLst>
        </c:ser>
        <c:ser>
          <c:idx val="1"/>
          <c:order val="1"/>
          <c:tx>
            <c:strRef>
              <c:f>Лист3!$G$44</c:f>
              <c:strCache>
                <c:ptCount val="1"/>
                <c:pt idx="0">
                  <c:v>стабильность</c:v>
                </c:pt>
              </c:strCache>
            </c:strRef>
          </c:tx>
          <c:spPr>
            <a:solidFill>
              <a:srgbClr val="993366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Лист3!$G$45:$G$50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4.3</c:v>
                </c:pt>
                <c:pt idx="2">
                  <c:v>4.5</c:v>
                </c:pt>
                <c:pt idx="3">
                  <c:v>4.5</c:v>
                </c:pt>
                <c:pt idx="4">
                  <c:v>4.5999999999999996</c:v>
                </c:pt>
                <c:pt idx="5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0A-45EE-87F8-7DB61DD98C21}"/>
            </c:ext>
          </c:extLst>
        </c:ser>
        <c:ser>
          <c:idx val="2"/>
          <c:order val="2"/>
          <c:tx>
            <c:strRef>
              <c:f>Лист3!$H$44</c:f>
              <c:strCache>
                <c:ptCount val="1"/>
                <c:pt idx="0">
                  <c:v>автономия</c:v>
                </c:pt>
              </c:strCache>
            </c:strRef>
          </c:tx>
          <c:spPr>
            <a:solidFill>
              <a:srgbClr val="FFFF00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Лист3!$H$45:$H$50</c:f>
              <c:numCache>
                <c:formatCode>General</c:formatCode>
                <c:ptCount val="6"/>
                <c:pt idx="0">
                  <c:v>3.7</c:v>
                </c:pt>
                <c:pt idx="1">
                  <c:v>4.2</c:v>
                </c:pt>
                <c:pt idx="2">
                  <c:v>4.0999999999999996</c:v>
                </c:pt>
                <c:pt idx="3">
                  <c:v>4.0999999999999996</c:v>
                </c:pt>
                <c:pt idx="4">
                  <c:v>4.0999999999999996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0A-45EE-87F8-7DB61DD98C21}"/>
            </c:ext>
          </c:extLst>
        </c:ser>
        <c:ser>
          <c:idx val="3"/>
          <c:order val="3"/>
          <c:tx>
            <c:strRef>
              <c:f>Лист3!$I$44</c:f>
              <c:strCache>
                <c:ptCount val="1"/>
                <c:pt idx="0">
                  <c:v>заработок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Лист3!$I$45:$I$50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3.8</c:v>
                </c:pt>
                <c:pt idx="2">
                  <c:v>3.9</c:v>
                </c:pt>
                <c:pt idx="3">
                  <c:v>3.9</c:v>
                </c:pt>
                <c:pt idx="4">
                  <c:v>4.4000000000000004</c:v>
                </c:pt>
                <c:pt idx="5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E0A-45EE-87F8-7DB61DD98C21}"/>
            </c:ext>
          </c:extLst>
        </c:ser>
        <c:ser>
          <c:idx val="4"/>
          <c:order val="4"/>
          <c:tx>
            <c:strRef>
              <c:f>Лист3!$J$44</c:f>
              <c:strCache>
                <c:ptCount val="1"/>
                <c:pt idx="0">
                  <c:v>гибкий режим</c:v>
                </c:pt>
              </c:strCache>
            </c:strRef>
          </c:tx>
          <c:spPr>
            <a:solidFill>
              <a:srgbClr val="00FF00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Лист3!$J$45:$J$50</c:f>
              <c:numCache>
                <c:formatCode>General</c:formatCode>
                <c:ptCount val="6"/>
                <c:pt idx="0">
                  <c:v>3.5</c:v>
                </c:pt>
                <c:pt idx="1">
                  <c:v>3.8</c:v>
                </c:pt>
                <c:pt idx="2">
                  <c:v>3.6</c:v>
                </c:pt>
                <c:pt idx="3">
                  <c:v>3.7</c:v>
                </c:pt>
                <c:pt idx="4">
                  <c:v>3.8</c:v>
                </c:pt>
                <c:pt idx="5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E0A-45EE-87F8-7DB61DD98C21}"/>
            </c:ext>
          </c:extLst>
        </c:ser>
        <c:ser>
          <c:idx val="5"/>
          <c:order val="5"/>
          <c:tx>
            <c:strRef>
              <c:f>Лист3!$K$44</c:f>
              <c:strCache>
                <c:ptCount val="1"/>
                <c:pt idx="0">
                  <c:v>карьера</c:v>
                </c:pt>
              </c:strCache>
            </c:strRef>
          </c:tx>
          <c:spPr>
            <a:solidFill>
              <a:srgbClr val="FF8080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Лист3!$E$45:$E$50</c:f>
              <c:strCache>
                <c:ptCount val="6"/>
                <c:pt idx="0">
                  <c:v>Россия</c:v>
                </c:pt>
                <c:pt idx="1">
                  <c:v>скандинавские</c:v>
                </c:pt>
                <c:pt idx="2">
                  <c:v>Англо-саксонские</c:v>
                </c:pt>
                <c:pt idx="3">
                  <c:v>Западная Европа</c:v>
                </c:pt>
                <c:pt idx="4">
                  <c:v>Средиземноморье</c:v>
                </c:pt>
                <c:pt idx="5">
                  <c:v>Постсоциалистические</c:v>
                </c:pt>
              </c:strCache>
            </c:strRef>
          </c:cat>
          <c:val>
            <c:numRef>
              <c:f>Лист3!$K$45:$K$50</c:f>
              <c:numCache>
                <c:formatCode>General</c:formatCode>
                <c:ptCount val="6"/>
                <c:pt idx="0">
                  <c:v>3.8</c:v>
                </c:pt>
                <c:pt idx="1">
                  <c:v>3.3</c:v>
                </c:pt>
                <c:pt idx="2">
                  <c:v>4.0999999999999996</c:v>
                </c:pt>
                <c:pt idx="3">
                  <c:v>3.9</c:v>
                </c:pt>
                <c:pt idx="4">
                  <c:v>4.2</c:v>
                </c:pt>
                <c:pt idx="5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E0A-45EE-87F8-7DB61DD98C21}"/>
            </c:ext>
          </c:extLst>
        </c:ser>
        <c:axId val="35547776"/>
        <c:axId val="35575296"/>
      </c:barChart>
      <c:catAx>
        <c:axId val="35547776"/>
        <c:scaling>
          <c:orientation val="minMax"/>
        </c:scaling>
        <c:axPos val="b"/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3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575296"/>
        <c:crosses val="autoZero"/>
        <c:auto val="1"/>
        <c:lblAlgn val="ctr"/>
        <c:lblOffset val="100"/>
        <c:tickLblSkip val="1"/>
        <c:tickMarkSkip val="1"/>
      </c:catAx>
      <c:valAx>
        <c:axId val="35575296"/>
        <c:scaling>
          <c:orientation val="minMax"/>
          <c:min val="3"/>
        </c:scaling>
        <c:axPos val="l"/>
        <c:majorGridlines>
          <c:spPr>
            <a:ln w="3164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547776"/>
        <c:crosses val="autoZero"/>
        <c:crossBetween val="between"/>
      </c:valAx>
      <c:spPr>
        <a:solidFill>
          <a:srgbClr val="FFFFFF"/>
        </a:solidFill>
        <a:ln w="1265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3.5921205098493655E-2"/>
          <c:y val="0.93023255813953487"/>
          <c:w val="0.96407883274344919"/>
          <c:h val="6.3953488372093054E-2"/>
        </c:manualLayout>
      </c:layout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4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9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461181923522672E-2"/>
          <c:y val="4.2635658914728716E-2"/>
          <c:w val="0.93511008111239857"/>
          <c:h val="0.54651162790697649"/>
        </c:manualLayout>
      </c:layout>
      <c:barChart>
        <c:barDir val="col"/>
        <c:grouping val="clustered"/>
        <c:ser>
          <c:idx val="0"/>
          <c:order val="0"/>
          <c:tx>
            <c:strRef>
              <c:f>Лист3!$J$7</c:f>
              <c:strCache>
                <c:ptCount val="1"/>
                <c:pt idx="0">
                  <c:v>работа- только способ зарабатывания денег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Лист3!$I$8:$I$13</c:f>
              <c:strCache>
                <c:ptCount val="6"/>
                <c:pt idx="0">
                  <c:v>россия</c:v>
                </c:pt>
                <c:pt idx="1">
                  <c:v>постсоц</c:v>
                </c:pt>
                <c:pt idx="2">
                  <c:v>средиземноморье</c:v>
                </c:pt>
                <c:pt idx="3">
                  <c:v>англо-саксонские</c:v>
                </c:pt>
                <c:pt idx="4">
                  <c:v>европа</c:v>
                </c:pt>
                <c:pt idx="5">
                  <c:v>скандинавские</c:v>
                </c:pt>
              </c:strCache>
            </c:strRef>
          </c:cat>
          <c:val>
            <c:numRef>
              <c:f>Лист3!$J$8:$J$13</c:f>
              <c:numCache>
                <c:formatCode>0.0</c:formatCode>
                <c:ptCount val="6"/>
                <c:pt idx="0">
                  <c:v>52.112676056338024</c:v>
                </c:pt>
                <c:pt idx="1">
                  <c:v>47.20870312052682</c:v>
                </c:pt>
                <c:pt idx="2">
                  <c:v>44.372990353697745</c:v>
                </c:pt>
                <c:pt idx="3">
                  <c:v>27.148117839607185</c:v>
                </c:pt>
                <c:pt idx="4">
                  <c:v>24.45867642573954</c:v>
                </c:pt>
                <c:pt idx="5">
                  <c:v>20.374832663989292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29-441C-B550-59C442D2A5E3}"/>
            </c:ext>
          </c:extLst>
        </c:ser>
        <c:ser>
          <c:idx val="1"/>
          <c:order val="1"/>
          <c:tx>
            <c:strRef>
              <c:f>Лист3!$K$7</c:f>
              <c:strCache>
                <c:ptCount val="1"/>
                <c:pt idx="0">
                  <c:v>работа-самоценность</c:v>
                </c:pt>
              </c:strCache>
            </c:strRef>
          </c:tx>
          <c:spPr>
            <a:solidFill>
              <a:srgbClr val="800080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Лист3!$I$8:$I$13</c:f>
              <c:strCache>
                <c:ptCount val="6"/>
                <c:pt idx="0">
                  <c:v>россия</c:v>
                </c:pt>
                <c:pt idx="1">
                  <c:v>постсоц</c:v>
                </c:pt>
                <c:pt idx="2">
                  <c:v>средиземноморье</c:v>
                </c:pt>
                <c:pt idx="3">
                  <c:v>англо-саксонские</c:v>
                </c:pt>
                <c:pt idx="4">
                  <c:v>европа</c:v>
                </c:pt>
                <c:pt idx="5">
                  <c:v>скандинавские</c:v>
                </c:pt>
              </c:strCache>
            </c:strRef>
          </c:cat>
          <c:val>
            <c:numRef>
              <c:f>Лист3!$K$8:$K$13</c:f>
              <c:numCache>
                <c:formatCode>0.0</c:formatCode>
                <c:ptCount val="6"/>
                <c:pt idx="0">
                  <c:v>42.371134020618527</c:v>
                </c:pt>
                <c:pt idx="1">
                  <c:v>50.173812282734652</c:v>
                </c:pt>
                <c:pt idx="2">
                  <c:v>47.813649366571305</c:v>
                </c:pt>
                <c:pt idx="3">
                  <c:v>66.5</c:v>
                </c:pt>
                <c:pt idx="4">
                  <c:v>63.722099968563363</c:v>
                </c:pt>
                <c:pt idx="5">
                  <c:v>67.70018873011594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29-441C-B550-59C442D2A5E3}"/>
            </c:ext>
          </c:extLst>
        </c:ser>
        <c:axId val="73088000"/>
        <c:axId val="73112192"/>
      </c:barChart>
      <c:catAx>
        <c:axId val="73088000"/>
        <c:scaling>
          <c:orientation val="minMax"/>
        </c:scaling>
        <c:axPos val="b"/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5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12192"/>
        <c:crosses val="autoZero"/>
        <c:auto val="1"/>
        <c:lblAlgn val="ctr"/>
        <c:lblOffset val="100"/>
        <c:tickLblSkip val="1"/>
        <c:tickMarkSkip val="1"/>
      </c:catAx>
      <c:valAx>
        <c:axId val="73112192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ysDash"/>
            </a:ln>
          </c:spPr>
        </c:majorGridlines>
        <c:numFmt formatCode="0.0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88000"/>
        <c:crosses val="autoZero"/>
        <c:crossBetween val="between"/>
      </c:valAx>
      <c:spPr>
        <a:solidFill>
          <a:srgbClr val="FFFFFF"/>
        </a:solidFill>
        <a:ln w="1265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660486674391663"/>
          <c:y val="0.93023255813953487"/>
          <c:w val="0.82850521436848301"/>
          <c:h val="6.3953488372093026E-2"/>
        </c:manualLayout>
      </c:layout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4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006802721088435"/>
          <c:y val="4.069767441860471E-2"/>
          <c:w val="0.81768707482993197"/>
          <c:h val="0.76937984496124034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Лист2!$D$35:$D$59</c:f>
              <c:strCache>
                <c:ptCount val="25"/>
                <c:pt idx="0">
                  <c:v>Болгария</c:v>
                </c:pt>
                <c:pt idx="1">
                  <c:v>Украина</c:v>
                </c:pt>
                <c:pt idx="2">
                  <c:v>Румыния</c:v>
                </c:pt>
                <c:pt idx="3">
                  <c:v>Россия</c:v>
                </c:pt>
                <c:pt idx="4">
                  <c:v>Латвия</c:v>
                </c:pt>
                <c:pt idx="5">
                  <c:v>Португалия</c:v>
                </c:pt>
                <c:pt idx="6">
                  <c:v>Венгрия</c:v>
                </c:pt>
                <c:pt idx="7">
                  <c:v>Словакия</c:v>
                </c:pt>
                <c:pt idx="8">
                  <c:v>Эстония</c:v>
                </c:pt>
                <c:pt idx="9">
                  <c:v>Бельгия</c:v>
                </c:pt>
                <c:pt idx="10">
                  <c:v>Германия</c:v>
                </c:pt>
                <c:pt idx="11">
                  <c:v>Польша</c:v>
                </c:pt>
                <c:pt idx="12">
                  <c:v>Швейцария</c:v>
                </c:pt>
                <c:pt idx="13">
                  <c:v>Австрия</c:v>
                </c:pt>
                <c:pt idx="14">
                  <c:v>Голландия</c:v>
                </c:pt>
                <c:pt idx="15">
                  <c:v>Испания</c:v>
                </c:pt>
                <c:pt idx="16">
                  <c:v>Словения</c:v>
                </c:pt>
                <c:pt idx="17">
                  <c:v>Кипр</c:v>
                </c:pt>
                <c:pt idx="18">
                  <c:v>Британия</c:v>
                </c:pt>
                <c:pt idx="19">
                  <c:v>Финляндия</c:v>
                </c:pt>
                <c:pt idx="20">
                  <c:v>Ирландия</c:v>
                </c:pt>
                <c:pt idx="21">
                  <c:v>Швеция</c:v>
                </c:pt>
                <c:pt idx="22">
                  <c:v>Норвегия</c:v>
                </c:pt>
                <c:pt idx="23">
                  <c:v>Дания</c:v>
                </c:pt>
                <c:pt idx="24">
                  <c:v>Франция</c:v>
                </c:pt>
              </c:strCache>
            </c:strRef>
          </c:cat>
          <c:val>
            <c:numRef>
              <c:f>Лист2!$E$35:$E$59</c:f>
              <c:numCache>
                <c:formatCode>0.0</c:formatCode>
                <c:ptCount val="25"/>
                <c:pt idx="0">
                  <c:v>36.724386724386733</c:v>
                </c:pt>
                <c:pt idx="1">
                  <c:v>30.015313935681469</c:v>
                </c:pt>
                <c:pt idx="2">
                  <c:v>23.745819397993291</c:v>
                </c:pt>
                <c:pt idx="3">
                  <c:v>23.073684210526302</c:v>
                </c:pt>
                <c:pt idx="4">
                  <c:v>16.70190274841439</c:v>
                </c:pt>
                <c:pt idx="5">
                  <c:v>13.3210840606339</c:v>
                </c:pt>
                <c:pt idx="6">
                  <c:v>12.076974120769744</c:v>
                </c:pt>
                <c:pt idx="7">
                  <c:v>12.066974595842964</c:v>
                </c:pt>
                <c:pt idx="8">
                  <c:v>7.7441077441077404</c:v>
                </c:pt>
                <c:pt idx="9">
                  <c:v>4.5403587443946254</c:v>
                </c:pt>
                <c:pt idx="10">
                  <c:v>4.4791666666666705</c:v>
                </c:pt>
                <c:pt idx="11">
                  <c:v>3.1012287887653618</c:v>
                </c:pt>
                <c:pt idx="12">
                  <c:v>2.9625489100055868</c:v>
                </c:pt>
                <c:pt idx="13">
                  <c:v>2.90350128095645</c:v>
                </c:pt>
                <c:pt idx="14">
                  <c:v>2.9286474973375931</c:v>
                </c:pt>
                <c:pt idx="15">
                  <c:v>2.6925148088314503</c:v>
                </c:pt>
                <c:pt idx="16">
                  <c:v>2.5429553264604792</c:v>
                </c:pt>
                <c:pt idx="17">
                  <c:v>2.4316109422492387</c:v>
                </c:pt>
                <c:pt idx="18">
                  <c:v>2.2708158116063939</c:v>
                </c:pt>
                <c:pt idx="19">
                  <c:v>2.1750663129973482</c:v>
                </c:pt>
                <c:pt idx="20">
                  <c:v>1.6561964591661908</c:v>
                </c:pt>
                <c:pt idx="21">
                  <c:v>1.6727652901202299</c:v>
                </c:pt>
                <c:pt idx="22">
                  <c:v>1.716247139588102</c:v>
                </c:pt>
                <c:pt idx="23">
                  <c:v>1.3679890560875514</c:v>
                </c:pt>
                <c:pt idx="24">
                  <c:v>1.4112903225806444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90-4015-AD6D-7DB7195FBAD4}"/>
            </c:ext>
          </c:extLst>
        </c:ser>
        <c:axId val="87060480"/>
        <c:axId val="87062784"/>
      </c:barChart>
      <c:catAx>
        <c:axId val="87060480"/>
        <c:scaling>
          <c:orientation val="minMax"/>
        </c:scaling>
        <c:axPos val="b"/>
        <c:numFmt formatCode="General" sourceLinked="1"/>
        <c:tickLblPos val="nextTo"/>
        <c:spPr>
          <a:noFill/>
          <a:ln w="3164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196" b="0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062784"/>
        <c:crosses val="autoZero"/>
        <c:auto val="1"/>
        <c:lblAlgn val="ctr"/>
        <c:lblOffset val="100"/>
        <c:tickLblSkip val="1"/>
        <c:tickMarkSkip val="1"/>
      </c:catAx>
      <c:valAx>
        <c:axId val="87062784"/>
        <c:scaling>
          <c:orientation val="minMax"/>
        </c:scaling>
        <c:axPos val="l"/>
        <c:majorGridlines>
          <c:spPr>
            <a:ln w="3164" cap="flat" cmpd="sng" algn="ctr">
              <a:solidFill>
                <a:srgbClr val="000000"/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95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доля тех, кто испытывает серьёзные материальные трудности</a:t>
                </a:r>
              </a:p>
            </c:rich>
          </c:tx>
          <c:layout>
            <c:manualLayout>
              <c:xMode val="edge"/>
              <c:yMode val="edge"/>
              <c:x val="2.5088902932686577E-2"/>
              <c:y val="9.3211752786220958E-2"/>
            </c:manualLayout>
          </c:layout>
          <c:spPr>
            <a:noFill/>
            <a:ln w="25311">
              <a:noFill/>
            </a:ln>
            <a:effectLst/>
          </c:spPr>
        </c:title>
        <c:numFmt formatCode="0.0" sourceLinked="1"/>
        <c:tickLblPos val="nextTo"/>
        <c:spPr>
          <a:noFill/>
          <a:ln w="3164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97" b="0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060480"/>
        <c:crosses val="autoZero"/>
        <c:crossBetween val="between"/>
      </c:valAx>
      <c:spPr>
        <a:solidFill>
          <a:srgbClr val="FFFFFF"/>
        </a:solidFill>
        <a:ln w="12655">
          <a:solidFill>
            <a:srgbClr val="808080"/>
          </a:solidFill>
          <a:prstDash val="solid"/>
        </a:ln>
        <a:effectLst/>
      </c:spPr>
    </c:plotArea>
    <c:plotVisOnly val="1"/>
    <c:dispBlanksAs val="gap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306455363965578E-2"/>
          <c:y val="7.7826371410318618E-2"/>
          <c:w val="0.93511008111239857"/>
          <c:h val="0.5872093023255818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0080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24"/>
            <c:spPr>
              <a:pattFill prst="wdUpDiag">
                <a:fgClr>
                  <a:srgbClr val="000080"/>
                </a:fgClr>
                <a:bgClr>
                  <a:srgbClr val="FFFFFF"/>
                </a:bgClr>
              </a:pattFill>
              <a:ln w="1267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91E-4949-B2C5-2DB34BDCDC42}"/>
              </c:ext>
            </c:extLst>
          </c:dPt>
          <c:cat>
            <c:strRef>
              <c:f>Лист1!$H$66:$H$90</c:f>
              <c:strCache>
                <c:ptCount val="25"/>
                <c:pt idx="0">
                  <c:v>Switzerland</c:v>
                </c:pt>
                <c:pt idx="1">
                  <c:v>Cyprus</c:v>
                </c:pt>
                <c:pt idx="2">
                  <c:v>Belgium</c:v>
                </c:pt>
                <c:pt idx="3">
                  <c:v>Ireland</c:v>
                </c:pt>
                <c:pt idx="4">
                  <c:v>Austria</c:v>
                </c:pt>
                <c:pt idx="5">
                  <c:v>Netherlands</c:v>
                </c:pt>
                <c:pt idx="6">
                  <c:v>Denmark</c:v>
                </c:pt>
                <c:pt idx="7">
                  <c:v>Norway</c:v>
                </c:pt>
                <c:pt idx="8">
                  <c:v>United Kingdom</c:v>
                </c:pt>
                <c:pt idx="9">
                  <c:v>Sweden</c:v>
                </c:pt>
                <c:pt idx="10">
                  <c:v>Slovenia</c:v>
                </c:pt>
                <c:pt idx="11">
                  <c:v>Germany</c:v>
                </c:pt>
                <c:pt idx="12">
                  <c:v>Spain</c:v>
                </c:pt>
                <c:pt idx="13">
                  <c:v>Finland</c:v>
                </c:pt>
                <c:pt idx="14">
                  <c:v>France</c:v>
                </c:pt>
                <c:pt idx="15">
                  <c:v>Bulgaria</c:v>
                </c:pt>
                <c:pt idx="16">
                  <c:v>Slovakia</c:v>
                </c:pt>
                <c:pt idx="17">
                  <c:v>Portugal</c:v>
                </c:pt>
                <c:pt idx="18">
                  <c:v>Latvia</c:v>
                </c:pt>
                <c:pt idx="19">
                  <c:v>Estonia</c:v>
                </c:pt>
                <c:pt idx="20">
                  <c:v>Hungary</c:v>
                </c:pt>
                <c:pt idx="21">
                  <c:v>Romania</c:v>
                </c:pt>
                <c:pt idx="22">
                  <c:v>Ukraine</c:v>
                </c:pt>
                <c:pt idx="23">
                  <c:v>Poland</c:v>
                </c:pt>
                <c:pt idx="24">
                  <c:v>Russian Federation</c:v>
                </c:pt>
              </c:strCache>
            </c:strRef>
          </c:cat>
          <c:val>
            <c:numRef>
              <c:f>Лист1!$I$66:$I$90</c:f>
              <c:numCache>
                <c:formatCode>0.0</c:formatCode>
                <c:ptCount val="25"/>
                <c:pt idx="0">
                  <c:v>37.153088630259624</c:v>
                </c:pt>
                <c:pt idx="1">
                  <c:v>38.899430740037985</c:v>
                </c:pt>
                <c:pt idx="2">
                  <c:v>40.066592674805825</c:v>
                </c:pt>
                <c:pt idx="3">
                  <c:v>42.031872509960145</c:v>
                </c:pt>
                <c:pt idx="4">
                  <c:v>45.49152542372881</c:v>
                </c:pt>
                <c:pt idx="5">
                  <c:v>45.585738539898131</c:v>
                </c:pt>
                <c:pt idx="6">
                  <c:v>46.568109820485816</c:v>
                </c:pt>
                <c:pt idx="7">
                  <c:v>46.699669966996701</c:v>
                </c:pt>
                <c:pt idx="8">
                  <c:v>48.822269807280477</c:v>
                </c:pt>
                <c:pt idx="9">
                  <c:v>49.878934624697308</c:v>
                </c:pt>
                <c:pt idx="10">
                  <c:v>52.374100719424455</c:v>
                </c:pt>
                <c:pt idx="11">
                  <c:v>53.328981723237554</c:v>
                </c:pt>
                <c:pt idx="12">
                  <c:v>53.680078508341495</c:v>
                </c:pt>
                <c:pt idx="13">
                  <c:v>56.656656656656594</c:v>
                </c:pt>
                <c:pt idx="14">
                  <c:v>56.448763250883374</c:v>
                </c:pt>
                <c:pt idx="15">
                  <c:v>66.996699669967171</c:v>
                </c:pt>
                <c:pt idx="16">
                  <c:v>67.463617463617567</c:v>
                </c:pt>
                <c:pt idx="17">
                  <c:v>67.617295308187664</c:v>
                </c:pt>
                <c:pt idx="18">
                  <c:v>67.650050864699779</c:v>
                </c:pt>
                <c:pt idx="19">
                  <c:v>67.824074074074048</c:v>
                </c:pt>
                <c:pt idx="20">
                  <c:v>72.40398293029871</c:v>
                </c:pt>
                <c:pt idx="21">
                  <c:v>73.324905183312296</c:v>
                </c:pt>
                <c:pt idx="22">
                  <c:v>77.1929824561403</c:v>
                </c:pt>
                <c:pt idx="23">
                  <c:v>79.072681704260589</c:v>
                </c:pt>
                <c:pt idx="24">
                  <c:v>80.187940485512925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1E-4949-B2C5-2DB34BDCDC42}"/>
            </c:ext>
          </c:extLst>
        </c:ser>
        <c:axId val="74750208"/>
        <c:axId val="74760192"/>
      </c:barChart>
      <c:catAx>
        <c:axId val="74750208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3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760192"/>
        <c:crosses val="autoZero"/>
        <c:auto val="1"/>
        <c:lblAlgn val="ctr"/>
        <c:lblOffset val="100"/>
        <c:tickLblSkip val="1"/>
        <c:tickMarkSkip val="1"/>
      </c:catAx>
      <c:valAx>
        <c:axId val="74760192"/>
        <c:scaling>
          <c:orientation val="minMax"/>
          <c:min val="30"/>
        </c:scaling>
        <c:axPos val="l"/>
        <c:majorGridlines>
          <c:spPr>
            <a:ln w="3169">
              <a:solidFill>
                <a:srgbClr val="000000"/>
              </a:solidFill>
              <a:prstDash val="sysDash"/>
            </a:ln>
          </c:spPr>
        </c:majorGridlines>
        <c:numFmt formatCode="0.0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750208"/>
        <c:crosses val="autoZero"/>
        <c:crossBetween val="between"/>
      </c:valAx>
      <c:spPr>
        <a:solidFill>
          <a:srgbClr val="FFFFFF"/>
        </a:solidFill>
        <a:ln w="12677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47F3-0194-4E31-AFBE-C4D56CFE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Мила</cp:lastModifiedBy>
  <cp:revision>3</cp:revision>
  <dcterms:created xsi:type="dcterms:W3CDTF">2021-03-29T02:51:00Z</dcterms:created>
  <dcterms:modified xsi:type="dcterms:W3CDTF">2021-03-29T02:54:00Z</dcterms:modified>
</cp:coreProperties>
</file>