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9A" w:rsidRPr="00C7076D" w:rsidRDefault="0083669A" w:rsidP="00734F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076D">
        <w:rPr>
          <w:rFonts w:ascii="Times New Roman" w:hAnsi="Times New Roman" w:cs="Times New Roman"/>
          <w:sz w:val="28"/>
          <w:szCs w:val="28"/>
        </w:rPr>
        <w:t>Д.А. Плотников</w:t>
      </w:r>
    </w:p>
    <w:p w:rsidR="00F7778B" w:rsidRPr="00C7076D" w:rsidRDefault="0083669A" w:rsidP="00734F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076D">
        <w:rPr>
          <w:rFonts w:ascii="Times New Roman" w:hAnsi="Times New Roman" w:cs="Times New Roman"/>
          <w:sz w:val="28"/>
          <w:szCs w:val="28"/>
        </w:rPr>
        <w:t>Научный руководитель В.В.Попов</w:t>
      </w:r>
    </w:p>
    <w:p w:rsidR="00F7778B" w:rsidRPr="001F1BDC" w:rsidRDefault="006D015D" w:rsidP="00734F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некоторых проблемах, связанных с правовым статусом Центрального Банка России</w:t>
      </w:r>
    </w:p>
    <w:p w:rsidR="009D1520" w:rsidRPr="001F1BDC" w:rsidRDefault="009D1520" w:rsidP="00734FE8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BD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Рассмотрены основные проблемные положения, связанные с Центральным Банком России</w:t>
      </w:r>
      <w:r w:rsidR="007B10D2" w:rsidRPr="001F1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1BDC" w:rsidRPr="001F1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BD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действующего</w:t>
      </w:r>
      <w:r w:rsidR="007B10D2" w:rsidRPr="001F1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BDC" w:rsidRPr="001F1BD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</w:t>
      </w:r>
      <w:r w:rsidR="001F1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ства, </w:t>
      </w:r>
      <w:r w:rsidR="001F1BDC" w:rsidRPr="001F1B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10D2" w:rsidRPr="001F1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риведено положение о том, что Банк России является независимым от Российской Федерации </w:t>
      </w:r>
      <w:r w:rsidR="001F1BDC" w:rsidRPr="001F1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</w:t>
      </w:r>
      <w:r w:rsidR="007B10D2" w:rsidRPr="001F1BDC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="001F1BDC" w:rsidRPr="001F1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Опираясь на связанные с данным фактом проблемы, приведён первоначальный алгоритм достижения финансового суверенитета- как отправной точки достижения экономического суверенитета. </w:t>
      </w:r>
    </w:p>
    <w:p w:rsidR="00AF28AE" w:rsidRPr="001F1BDC" w:rsidRDefault="00AF28AE" w:rsidP="00734FE8">
      <w:pPr>
        <w:spacing w:after="0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FE8" w:rsidRDefault="00340D72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6D">
        <w:rPr>
          <w:rFonts w:ascii="Times New Roman" w:hAnsi="Times New Roman" w:cs="Times New Roman"/>
          <w:sz w:val="28"/>
          <w:szCs w:val="28"/>
        </w:rPr>
        <w:t>Понятие суверенитета в виду его многогранности и сложности, в различных доктринальных источниках трактуется по-разному. Суверенитет – это состояние полновластия государства на своей территории и его независимость от других государств. Суверенитет – это главное свойство власти, которое определяет, насколько то или иное государство может самостоятельно управлять своими территориями и взаимодействовать с внешним миром.  Суверенитет - особое свойство государства, которое проявляется через его полновластие, верховенство и независимость. При анализе указанных понятий, можно сделать вывод о том, что в них наличествуют схожие признаки, которые можно выразить в следующем обобщающем определении: Суверенитет – это единство и независимость государственной власти, при помощи которых, государ</w:t>
      </w:r>
      <w:r w:rsidR="00423D48" w:rsidRPr="00C7076D">
        <w:rPr>
          <w:rFonts w:ascii="Times New Roman" w:hAnsi="Times New Roman" w:cs="Times New Roman"/>
          <w:sz w:val="28"/>
          <w:szCs w:val="28"/>
        </w:rPr>
        <w:t>ство</w:t>
      </w:r>
      <w:r w:rsidRPr="00C7076D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свои функции, как за пределами, так и внутри страны.</w:t>
      </w:r>
    </w:p>
    <w:p w:rsidR="001677BB" w:rsidRDefault="00340D72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6D">
        <w:rPr>
          <w:rFonts w:ascii="Times New Roman" w:hAnsi="Times New Roman" w:cs="Times New Roman"/>
          <w:sz w:val="28"/>
          <w:szCs w:val="28"/>
        </w:rPr>
        <w:t xml:space="preserve"> Рассматривая содержание данного понятия необходимо сказать, что оно </w:t>
      </w:r>
      <w:r w:rsidR="00900968" w:rsidRPr="00C7076D">
        <w:rPr>
          <w:rFonts w:ascii="Times New Roman" w:hAnsi="Times New Roman" w:cs="Times New Roman"/>
          <w:sz w:val="28"/>
          <w:szCs w:val="28"/>
        </w:rPr>
        <w:t>включает в себя</w:t>
      </w:r>
      <w:r w:rsidRPr="00C7076D">
        <w:rPr>
          <w:rFonts w:ascii="Times New Roman" w:hAnsi="Times New Roman" w:cs="Times New Roman"/>
          <w:sz w:val="28"/>
          <w:szCs w:val="28"/>
        </w:rPr>
        <w:t xml:space="preserve"> структурированный набор элементов, которые в совокупности и образуют такой термин как </w:t>
      </w:r>
      <w:r w:rsidR="00423D48" w:rsidRPr="00C7076D">
        <w:rPr>
          <w:rFonts w:ascii="Times New Roman" w:hAnsi="Times New Roman" w:cs="Times New Roman"/>
          <w:sz w:val="28"/>
          <w:szCs w:val="28"/>
        </w:rPr>
        <w:t>«суверенитет»,</w:t>
      </w:r>
      <w:r w:rsidR="00FF4DA0" w:rsidRPr="00C7076D">
        <w:rPr>
          <w:rFonts w:ascii="Times New Roman" w:hAnsi="Times New Roman" w:cs="Times New Roman"/>
          <w:sz w:val="28"/>
          <w:szCs w:val="28"/>
        </w:rPr>
        <w:t xml:space="preserve"> т.е. общий или государственный суверенитет,</w:t>
      </w:r>
      <w:r w:rsidR="00423D48" w:rsidRPr="00C7076D">
        <w:rPr>
          <w:rFonts w:ascii="Times New Roman" w:hAnsi="Times New Roman" w:cs="Times New Roman"/>
          <w:sz w:val="28"/>
          <w:szCs w:val="28"/>
        </w:rPr>
        <w:t xml:space="preserve"> являющийся неотъемлемой частью национальной безопасности</w:t>
      </w:r>
      <w:r w:rsidR="00473FBF" w:rsidRPr="00C7076D">
        <w:rPr>
          <w:rFonts w:ascii="Times New Roman" w:hAnsi="Times New Roman" w:cs="Times New Roman"/>
          <w:sz w:val="28"/>
          <w:szCs w:val="28"/>
        </w:rPr>
        <w:t xml:space="preserve">, </w:t>
      </w:r>
      <w:r w:rsidR="00A47970" w:rsidRPr="00C7076D">
        <w:rPr>
          <w:rFonts w:ascii="Times New Roman" w:hAnsi="Times New Roman" w:cs="Times New Roman"/>
          <w:sz w:val="28"/>
          <w:szCs w:val="28"/>
        </w:rPr>
        <w:t xml:space="preserve">если конечно государство не ставит себе </w:t>
      </w:r>
      <w:r w:rsidR="00A47970" w:rsidRPr="002F726E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A47970" w:rsidRPr="00C7076D">
        <w:rPr>
          <w:rFonts w:ascii="Times New Roman" w:hAnsi="Times New Roman" w:cs="Times New Roman"/>
          <w:sz w:val="28"/>
          <w:szCs w:val="28"/>
        </w:rPr>
        <w:t xml:space="preserve">уничтожение народа </w:t>
      </w:r>
      <w:r w:rsidR="00473FBF" w:rsidRPr="00C7076D">
        <w:rPr>
          <w:rFonts w:ascii="Times New Roman" w:hAnsi="Times New Roman" w:cs="Times New Roman"/>
          <w:sz w:val="28"/>
          <w:szCs w:val="28"/>
        </w:rPr>
        <w:t xml:space="preserve"> </w:t>
      </w:r>
      <w:r w:rsidRPr="00C7076D">
        <w:rPr>
          <w:rFonts w:ascii="Times New Roman" w:hAnsi="Times New Roman" w:cs="Times New Roman"/>
          <w:sz w:val="28"/>
          <w:szCs w:val="28"/>
        </w:rPr>
        <w:t xml:space="preserve">Опираясь на саму идею понятия «суверенитет», как достижение определённой самостоятельности от внешнего воздействия, можно сказать, что данные элементы в практике жизни представлены в виде </w:t>
      </w:r>
      <w:r w:rsidRPr="00C7076D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определённого уровня независимости в различных </w:t>
      </w:r>
      <w:r w:rsidR="00423D48" w:rsidRPr="00C7076D">
        <w:rPr>
          <w:rFonts w:ascii="Times New Roman" w:hAnsi="Times New Roman" w:cs="Times New Roman"/>
          <w:sz w:val="28"/>
          <w:szCs w:val="28"/>
        </w:rPr>
        <w:t xml:space="preserve">сферах жизни общества </w:t>
      </w:r>
      <w:r w:rsidRPr="00C7076D">
        <w:rPr>
          <w:rFonts w:ascii="Times New Roman" w:hAnsi="Times New Roman" w:cs="Times New Roman"/>
          <w:sz w:val="28"/>
          <w:szCs w:val="28"/>
        </w:rPr>
        <w:t xml:space="preserve">(экономическая, военная, политическая, культурная, </w:t>
      </w:r>
      <w:r w:rsidR="00423D48" w:rsidRPr="00C7076D">
        <w:rPr>
          <w:rFonts w:ascii="Times New Roman" w:hAnsi="Times New Roman" w:cs="Times New Roman"/>
          <w:sz w:val="28"/>
          <w:szCs w:val="28"/>
        </w:rPr>
        <w:t>идеологическая</w:t>
      </w:r>
      <w:r w:rsidRPr="00C7076D">
        <w:rPr>
          <w:rFonts w:ascii="Times New Roman" w:hAnsi="Times New Roman" w:cs="Times New Roman"/>
          <w:sz w:val="28"/>
          <w:szCs w:val="28"/>
        </w:rPr>
        <w:t>)</w:t>
      </w:r>
      <w:r w:rsidR="00423D48" w:rsidRPr="00C7076D">
        <w:rPr>
          <w:rFonts w:ascii="Times New Roman" w:hAnsi="Times New Roman" w:cs="Times New Roman"/>
          <w:sz w:val="28"/>
          <w:szCs w:val="28"/>
        </w:rPr>
        <w:t>.</w:t>
      </w:r>
      <w:r w:rsidRPr="00C70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7BB" w:rsidRDefault="001677BB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6D">
        <w:rPr>
          <w:rFonts w:ascii="Times New Roman" w:hAnsi="Times New Roman" w:cs="Times New Roman"/>
          <w:sz w:val="28"/>
          <w:szCs w:val="28"/>
        </w:rPr>
        <w:t>Важность экономического суверенитета заключается в том, что он по своей сути является основополагающим и первично необходимым элементом для достижения общего государственного суверенитета, соответственно, для обеспечения национальной безопасности.</w:t>
      </w:r>
    </w:p>
    <w:p w:rsidR="005D5D43" w:rsidRDefault="006429C8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76D">
        <w:rPr>
          <w:rFonts w:ascii="Times New Roman" w:hAnsi="Times New Roman" w:cs="Times New Roman"/>
          <w:sz w:val="28"/>
          <w:szCs w:val="28"/>
        </w:rPr>
        <w:t>Н</w:t>
      </w:r>
      <w:r w:rsidR="000F56B5" w:rsidRPr="00C7076D">
        <w:rPr>
          <w:rFonts w:ascii="Times New Roman" w:hAnsi="Times New Roman" w:cs="Times New Roman"/>
          <w:sz w:val="28"/>
          <w:szCs w:val="28"/>
        </w:rPr>
        <w:t xml:space="preserve">а данный момент </w:t>
      </w:r>
      <w:r w:rsidRPr="00C7076D">
        <w:rPr>
          <w:rFonts w:ascii="Times New Roman" w:hAnsi="Times New Roman" w:cs="Times New Roman"/>
          <w:sz w:val="28"/>
          <w:szCs w:val="28"/>
        </w:rPr>
        <w:t xml:space="preserve">в Российской экономике, преобладают либерально-рыночные тенденции, которые начали внедрять </w:t>
      </w:r>
      <w:r w:rsidR="000F56B5" w:rsidRPr="00C7076D">
        <w:rPr>
          <w:rFonts w:ascii="Times New Roman" w:hAnsi="Times New Roman" w:cs="Times New Roman"/>
          <w:sz w:val="28"/>
          <w:szCs w:val="28"/>
        </w:rPr>
        <w:t xml:space="preserve">не так давно, а именно в период начала 90-х годов 20 века, что уже наталкивает на определённые негативные мысли в связи с историческими событиями того </w:t>
      </w:r>
      <w:r w:rsidR="007C7D02" w:rsidRPr="00C7076D">
        <w:rPr>
          <w:rFonts w:ascii="Times New Roman" w:hAnsi="Times New Roman" w:cs="Times New Roman"/>
          <w:sz w:val="28"/>
          <w:szCs w:val="28"/>
        </w:rPr>
        <w:t>времени</w:t>
      </w:r>
      <w:r w:rsidR="007C7D02" w:rsidRPr="002F7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726E" w:rsidRPr="002F726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основополагающими идеями</w:t>
      </w:r>
      <w:r w:rsidR="002F726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F726E">
        <w:rPr>
          <w:rFonts w:ascii="Times New Roman" w:hAnsi="Times New Roman" w:cs="Times New Roman"/>
          <w:color w:val="000000"/>
          <w:sz w:val="28"/>
          <w:szCs w:val="28"/>
        </w:rPr>
        <w:t xml:space="preserve">либеральной экономики, </w:t>
      </w:r>
      <w:r w:rsidRPr="00C7076D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экономическое производство </w:t>
      </w:r>
      <w:r w:rsidR="002F726E">
        <w:rPr>
          <w:rFonts w:ascii="Times New Roman" w:hAnsi="Times New Roman" w:cs="Times New Roman"/>
          <w:color w:val="000000"/>
          <w:sz w:val="28"/>
          <w:szCs w:val="28"/>
        </w:rPr>
        <w:t>регулируется</w:t>
      </w:r>
      <w:r w:rsidRPr="00C7076D">
        <w:rPr>
          <w:rFonts w:ascii="Times New Roman" w:hAnsi="Times New Roman" w:cs="Times New Roman"/>
          <w:color w:val="000000"/>
          <w:sz w:val="28"/>
          <w:szCs w:val="28"/>
        </w:rPr>
        <w:t xml:space="preserve"> само собой, при помощи «невидимой руки рынка» наилучшим образом. В данной концепции государство выступает</w:t>
      </w:r>
      <w:r w:rsidR="002F7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76D">
        <w:rPr>
          <w:rFonts w:ascii="Times New Roman" w:hAnsi="Times New Roman" w:cs="Times New Roman"/>
          <w:color w:val="000000"/>
          <w:sz w:val="28"/>
          <w:szCs w:val="28"/>
        </w:rPr>
        <w:t>в роли участника рыночных отношений</w:t>
      </w:r>
      <w:r w:rsidR="002F72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4D7D">
        <w:rPr>
          <w:rFonts w:ascii="Times New Roman" w:hAnsi="Times New Roman" w:cs="Times New Roman"/>
          <w:color w:val="000000"/>
          <w:sz w:val="28"/>
          <w:szCs w:val="28"/>
        </w:rPr>
        <w:t>отличающегося</w:t>
      </w:r>
      <w:r w:rsidR="002F7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76D">
        <w:rPr>
          <w:rFonts w:ascii="Times New Roman" w:hAnsi="Times New Roman" w:cs="Times New Roman"/>
          <w:color w:val="000000"/>
          <w:sz w:val="28"/>
          <w:szCs w:val="28"/>
        </w:rPr>
        <w:t>только тем, что ему принадлежит монополия на: право налогообложения по отношению к физическим и юридическим лицам на территории государства, а также право на издание законов, за рамки которых данные физические и юридические лица не должны выходить. Но, стоит обратить пристальное внимание на тот факт, что либерально-рыночная концепция относит право эмиссии не к компетенции государства, как это объективно должно быть, а к компетенции отдельного органа, который по своей сути является независимым по отношению к государству и его структурам.</w:t>
      </w:r>
      <w:r w:rsidR="00B94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D7D"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>Объясняется это тем</w:t>
      </w:r>
      <w:r w:rsidRPr="00C7076D">
        <w:rPr>
          <w:rFonts w:ascii="Times New Roman" w:hAnsi="Times New Roman" w:cs="Times New Roman"/>
          <w:color w:val="000000"/>
          <w:sz w:val="28"/>
          <w:szCs w:val="28"/>
        </w:rPr>
        <w:t xml:space="preserve">, что отдельный эмиссионный центр руководствуется исключительно финансово-экономическими соображениями, </w:t>
      </w:r>
      <w:r w:rsidR="00B94D7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C7076D">
        <w:rPr>
          <w:rFonts w:ascii="Times New Roman" w:hAnsi="Times New Roman" w:cs="Times New Roman"/>
          <w:color w:val="000000"/>
          <w:sz w:val="28"/>
          <w:szCs w:val="28"/>
        </w:rPr>
        <w:t>не политическими</w:t>
      </w:r>
      <w:r w:rsidR="00900968" w:rsidRPr="00C707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ECB" w:rsidRPr="00B94D7D" w:rsidRDefault="00900968" w:rsidP="00155E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76D">
        <w:rPr>
          <w:rFonts w:ascii="Times New Roman" w:hAnsi="Times New Roman" w:cs="Times New Roman"/>
          <w:color w:val="000000"/>
          <w:sz w:val="28"/>
          <w:szCs w:val="28"/>
        </w:rPr>
        <w:t xml:space="preserve">Итак, теперь проанализируем, каким образом </w:t>
      </w:r>
      <w:r w:rsidR="005D5D43">
        <w:rPr>
          <w:rFonts w:ascii="Times New Roman" w:hAnsi="Times New Roman" w:cs="Times New Roman"/>
          <w:color w:val="000000"/>
          <w:sz w:val="28"/>
          <w:szCs w:val="28"/>
        </w:rPr>
        <w:t xml:space="preserve">данная </w:t>
      </w:r>
      <w:r w:rsidRPr="00C7076D">
        <w:rPr>
          <w:rFonts w:ascii="Times New Roman" w:hAnsi="Times New Roman" w:cs="Times New Roman"/>
          <w:color w:val="000000"/>
          <w:sz w:val="28"/>
          <w:szCs w:val="28"/>
        </w:rPr>
        <w:t xml:space="preserve">либерально-экономическая </w:t>
      </w:r>
      <w:r w:rsidR="00B94D7D">
        <w:rPr>
          <w:rFonts w:ascii="Times New Roman" w:hAnsi="Times New Roman" w:cs="Times New Roman"/>
          <w:color w:val="000000"/>
          <w:sz w:val="28"/>
          <w:szCs w:val="28"/>
        </w:rPr>
        <w:t xml:space="preserve">идея воплощена на </w:t>
      </w:r>
      <w:r w:rsidRPr="00C7076D">
        <w:rPr>
          <w:rFonts w:ascii="Times New Roman" w:hAnsi="Times New Roman" w:cs="Times New Roman"/>
          <w:color w:val="000000"/>
          <w:sz w:val="28"/>
          <w:szCs w:val="28"/>
        </w:rPr>
        <w:t xml:space="preserve">практике. Для этого стоит обратиться к Федеральному закону </w:t>
      </w:r>
      <w:r w:rsidRPr="00C7076D">
        <w:rPr>
          <w:rFonts w:ascii="Times New Roman" w:hAnsi="Times New Roman" w:cs="Times New Roman"/>
          <w:sz w:val="28"/>
          <w:szCs w:val="28"/>
        </w:rPr>
        <w:t>№ 86-ФЗ «О Центральном банке Российской Федерации (Банке России)</w:t>
      </w:r>
      <w:r w:rsidR="00AB02E8">
        <w:rPr>
          <w:rFonts w:ascii="Times New Roman" w:hAnsi="Times New Roman" w:cs="Times New Roman"/>
          <w:sz w:val="28"/>
          <w:szCs w:val="28"/>
        </w:rPr>
        <w:t xml:space="preserve">».  В соответствии со статьёй 4 </w:t>
      </w:r>
      <w:r w:rsidRPr="00C7076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4B0433"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Банк России </w:t>
      </w:r>
      <w:r w:rsidR="004B0433"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>монопольно осуществляет такую исключительно важную (в монетизированной экономике) функцию, как эмиссия денег на территории РФ</w:t>
      </w:r>
      <w:r w:rsidR="00AB02E8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4B0433"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>. Однако, при этом Банк России скромно назван юридическим лицом</w:t>
      </w:r>
      <w:r w:rsidR="003D530C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="004B0433"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>, коих в нашей стране на 01.01.2020 насчитывается  3 715 287</w:t>
      </w:r>
      <w:r w:rsidR="004B0433" w:rsidRPr="00B94D7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4B0433"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5ECB"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Однако, странность заключается в том, что правовой статус лишь одного из 3 715 287 юридических лиц напрямую закреплен в Конституции Российской Федерации (ст. 75). Столь высокий уровень </w:t>
      </w:r>
      <w:r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закрепления</w:t>
      </w:r>
      <w:r w:rsidR="00B94D7D"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зачастую</w:t>
      </w:r>
      <w:r w:rsidR="00155ECB"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у многих государственных органов, например, отсутствует у всех министерств. </w:t>
      </w:r>
    </w:p>
    <w:p w:rsidR="00155ECB" w:rsidRPr="00146697" w:rsidRDefault="00155ECB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«странность» заключается в том, что это </w:t>
      </w:r>
      <w:r w:rsidRPr="00B94D7D">
        <w:rPr>
          <w:rFonts w:ascii="Times New Roman" w:hAnsi="Times New Roman" w:cs="Times New Roman"/>
          <w:color w:val="000000" w:themeColor="text1"/>
          <w:sz w:val="28"/>
          <w:szCs w:val="28"/>
        </w:rPr>
        <w:t>«скромное юридическое лицо» осуществляет свою основную функцию -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защиту и обеспечение устойчивости рубля защита независимо от </w:t>
      </w:r>
      <w:r w:rsidRPr="004B0433">
        <w:rPr>
          <w:rFonts w:ascii="Times New Roman" w:hAnsi="Times New Roman" w:cs="Times New Roman"/>
          <w:b/>
          <w:i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</w:t>
      </w:r>
      <w:r w:rsidR="00173699">
        <w:rPr>
          <w:rFonts w:ascii="Times New Roman" w:hAnsi="Times New Roman" w:cs="Times New Roman"/>
          <w:sz w:val="28"/>
          <w:szCs w:val="28"/>
        </w:rPr>
        <w:t xml:space="preserve">любого уровня, а также независимо от </w:t>
      </w:r>
      <w:r w:rsidR="0014669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46697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1466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Однако, формулировка </w:t>
      </w:r>
      <w:r w:rsidR="00485A87">
        <w:rPr>
          <w:rFonts w:ascii="Times New Roman" w:hAnsi="Times New Roman" w:cs="Times New Roman"/>
          <w:sz w:val="28"/>
          <w:szCs w:val="28"/>
        </w:rPr>
        <w:t>«защит</w:t>
      </w:r>
      <w:r w:rsidR="00173699">
        <w:rPr>
          <w:rFonts w:ascii="Times New Roman" w:hAnsi="Times New Roman" w:cs="Times New Roman"/>
          <w:sz w:val="28"/>
          <w:szCs w:val="28"/>
        </w:rPr>
        <w:t>а</w:t>
      </w:r>
      <w:r w:rsidR="00485A87">
        <w:rPr>
          <w:rFonts w:ascii="Times New Roman" w:hAnsi="Times New Roman" w:cs="Times New Roman"/>
          <w:sz w:val="28"/>
          <w:szCs w:val="28"/>
        </w:rPr>
        <w:t xml:space="preserve"> и обеспечение устойчивости рубля» является юридически неопределенной и неоднозначно интерпретируемой. Например, легко убедиться в том, что снижение курса рубля по отношению к иностранным </w:t>
      </w:r>
      <w:r w:rsidR="003D530C">
        <w:rPr>
          <w:rFonts w:ascii="Times New Roman" w:hAnsi="Times New Roman" w:cs="Times New Roman"/>
          <w:sz w:val="28"/>
          <w:szCs w:val="28"/>
        </w:rPr>
        <w:t>валютам одни</w:t>
      </w:r>
      <w:r w:rsidR="00485A87">
        <w:rPr>
          <w:rFonts w:ascii="Times New Roman" w:hAnsi="Times New Roman" w:cs="Times New Roman"/>
          <w:sz w:val="28"/>
          <w:szCs w:val="28"/>
        </w:rPr>
        <w:t xml:space="preserve"> экономисты и политики </w:t>
      </w:r>
      <w:r w:rsidR="003D530C">
        <w:rPr>
          <w:rFonts w:ascii="Times New Roman" w:hAnsi="Times New Roman" w:cs="Times New Roman"/>
          <w:sz w:val="28"/>
          <w:szCs w:val="28"/>
        </w:rPr>
        <w:t>считают позитивным</w:t>
      </w:r>
      <w:r w:rsidR="00485A87">
        <w:rPr>
          <w:rFonts w:ascii="Times New Roman" w:hAnsi="Times New Roman" w:cs="Times New Roman"/>
          <w:sz w:val="28"/>
          <w:szCs w:val="28"/>
        </w:rPr>
        <w:t xml:space="preserve"> явлением, а </w:t>
      </w:r>
      <w:r w:rsidR="003D530C">
        <w:rPr>
          <w:rFonts w:ascii="Times New Roman" w:hAnsi="Times New Roman" w:cs="Times New Roman"/>
          <w:sz w:val="28"/>
          <w:szCs w:val="28"/>
        </w:rPr>
        <w:t>другие – негативным</w:t>
      </w:r>
      <w:r w:rsidR="00485A87">
        <w:rPr>
          <w:rFonts w:ascii="Times New Roman" w:hAnsi="Times New Roman" w:cs="Times New Roman"/>
          <w:sz w:val="28"/>
          <w:szCs w:val="28"/>
        </w:rPr>
        <w:t>.</w:t>
      </w:r>
      <w:r w:rsidR="00231C01">
        <w:rPr>
          <w:rFonts w:ascii="Times New Roman" w:hAnsi="Times New Roman" w:cs="Times New Roman"/>
          <w:sz w:val="28"/>
          <w:szCs w:val="28"/>
        </w:rPr>
        <w:t xml:space="preserve"> К примеру, во время валютного кризиса 2014-2015 гг., произошёл резкий скачок в росте </w:t>
      </w:r>
      <w:r w:rsidR="00231C01" w:rsidRPr="00231C01">
        <w:rPr>
          <w:rFonts w:ascii="Times New Roman" w:hAnsi="Times New Roman" w:cs="Times New Roman"/>
          <w:sz w:val="28"/>
          <w:szCs w:val="28"/>
        </w:rPr>
        <w:t>потребительских цен,</w:t>
      </w:r>
      <w:r w:rsidR="00231C01" w:rsidRPr="00231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</w:t>
      </w:r>
      <w:r w:rsidR="00231C01" w:rsidRPr="00231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итогам 2014 года составил</w:t>
      </w:r>
      <w:r w:rsidR="00231C01" w:rsidRPr="00231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31C01" w:rsidRPr="00231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оценкам ЦБ РФ, 11,4%</w:t>
      </w:r>
      <w:r w:rsidR="00873072">
        <w:rPr>
          <w:rFonts w:ascii="Times New Roman" w:hAnsi="Times New Roman" w:cs="Times New Roman"/>
          <w:sz w:val="28"/>
          <w:szCs w:val="28"/>
        </w:rPr>
        <w:t>. Ухудшилось благосостояние более 48</w:t>
      </w:r>
      <w:r w:rsidR="00873072" w:rsidRPr="00873072">
        <w:rPr>
          <w:rFonts w:ascii="Times New Roman" w:hAnsi="Times New Roman" w:cs="Times New Roman"/>
          <w:sz w:val="28"/>
          <w:szCs w:val="28"/>
        </w:rPr>
        <w:t xml:space="preserve"> % российских граждан</w:t>
      </w:r>
      <w:r w:rsidR="00873072">
        <w:rPr>
          <w:rFonts w:ascii="Times New Roman" w:hAnsi="Times New Roman" w:cs="Times New Roman"/>
          <w:sz w:val="28"/>
          <w:szCs w:val="28"/>
        </w:rPr>
        <w:t xml:space="preserve">, которые в ходе опроса утверждали о </w:t>
      </w:r>
      <w:r w:rsidR="00873072" w:rsidRPr="0087307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росте розничных цен на товары и услуги</w:t>
      </w:r>
      <w:r w:rsidR="00873072" w:rsidRPr="008730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873072" w:rsidRPr="008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="00873072" w:rsidRPr="008730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873072" w:rsidRPr="0087307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 обесценивании личных сбережений</w:t>
      </w:r>
      <w:r w:rsidR="008730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873072" w:rsidRPr="008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r w:rsidR="008730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73072">
        <w:rPr>
          <w:rFonts w:ascii="Times New Roman" w:hAnsi="Times New Roman" w:cs="Times New Roman"/>
          <w:sz w:val="28"/>
          <w:szCs w:val="28"/>
        </w:rPr>
        <w:t xml:space="preserve">по словам Д.А. Медведева </w:t>
      </w:r>
      <w:r w:rsidR="00873072" w:rsidRPr="008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негативное влияние заключается в том, что </w:t>
      </w:r>
      <w:r w:rsidR="00873072" w:rsidRPr="0087307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уменьшается количество товаров, которые можно приобрести по импорту, уменьшается </w:t>
      </w:r>
      <w:r w:rsidR="00873072" w:rsidRPr="0087307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покупательная способность людей</w:t>
      </w:r>
      <w:r w:rsidR="00873072" w:rsidRPr="008730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="00873072" w:rsidRPr="0087307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ослабляется возможность компаний приобретать оборудование</w:t>
      </w:r>
      <w:r w:rsidR="00873072" w:rsidRPr="0087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иные объекты, которые необходимы для нормальной производственной жизни.</w:t>
      </w:r>
      <w:r w:rsidR="00873072">
        <w:rPr>
          <w:rFonts w:ascii="Times New Roman" w:hAnsi="Times New Roman" w:cs="Times New Roman"/>
          <w:sz w:val="28"/>
          <w:szCs w:val="28"/>
        </w:rPr>
        <w:t xml:space="preserve"> К плюсам же относят тот факт, что </w:t>
      </w:r>
      <w:r w:rsidR="00873072" w:rsidRPr="00146697">
        <w:rPr>
          <w:rFonts w:ascii="Times New Roman" w:hAnsi="Times New Roman" w:cs="Times New Roman"/>
          <w:sz w:val="28"/>
          <w:szCs w:val="28"/>
        </w:rPr>
        <w:t>экспортёры</w:t>
      </w:r>
      <w:r w:rsidR="00873072" w:rsidRP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73072" w:rsidRPr="0014669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получают большее количество рублей</w:t>
      </w:r>
      <w:r w:rsidR="00873072" w:rsidRPr="00146697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072" w:rsidRPr="0014669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</w:t>
      </w:r>
      <w:r w:rsidR="00873072" w:rsidRP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счет изменения курса</w:t>
      </w:r>
      <w:r w:rsidR="00873072" w:rsidRP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рубля)</w:t>
      </w:r>
      <w:r w:rsidR="00873072" w:rsidRP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значит, могут брать новые подряды,</w:t>
      </w:r>
      <w:r w:rsidR="00873072" w:rsidRP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072" w:rsidRP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покупать большее количество товаров внутри страны</w:t>
      </w:r>
      <w:r w:rsidR="00873072" w:rsidRP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73072" w:rsidRP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заказывать новую продукцию и таким образом расширять российскую экономику</w:t>
      </w:r>
      <w:r w:rsidR="00873072" w:rsidRP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6697" w:rsidRPr="0014669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Снижение курса рубля позитивно для тех, кто ориентирован на поставки на экспорт</w:t>
      </w:r>
      <w:r w:rsidR="00146697" w:rsidRPr="00146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они получают валюту, а себестоимость их продукции в рублях остается прежней, пояснил глава Минпромторга</w:t>
      </w:r>
      <w:r w:rsidR="00146697">
        <w:rPr>
          <w:color w:val="000000"/>
          <w:sz w:val="27"/>
          <w:szCs w:val="27"/>
          <w:shd w:val="clear" w:color="auto" w:fill="FFFFFF"/>
        </w:rPr>
        <w:t>.</w:t>
      </w:r>
      <w:r w:rsidR="00146697">
        <w:rPr>
          <w:rStyle w:val="a7"/>
          <w:color w:val="000000"/>
          <w:sz w:val="27"/>
          <w:szCs w:val="27"/>
          <w:shd w:val="clear" w:color="auto" w:fill="FFFFFF"/>
        </w:rPr>
        <w:footnoteReference w:id="5"/>
      </w:r>
      <w:r w:rsidR="00873072">
        <w:rPr>
          <w:rFonts w:ascii="Times New Roman" w:hAnsi="Times New Roman" w:cs="Times New Roman"/>
          <w:sz w:val="28"/>
          <w:szCs w:val="28"/>
        </w:rPr>
        <w:t xml:space="preserve"> </w:t>
      </w:r>
      <w:r w:rsidR="00485A87">
        <w:rPr>
          <w:rFonts w:ascii="Times New Roman" w:hAnsi="Times New Roman" w:cs="Times New Roman"/>
          <w:sz w:val="28"/>
          <w:szCs w:val="28"/>
        </w:rPr>
        <w:t xml:space="preserve">Иными словами, одни специалисты считаю, что Банк России способствует развитию экономики России, а другие считают, что, </w:t>
      </w:r>
      <w:r w:rsidR="003D530C">
        <w:rPr>
          <w:rFonts w:ascii="Times New Roman" w:hAnsi="Times New Roman" w:cs="Times New Roman"/>
          <w:sz w:val="28"/>
          <w:szCs w:val="28"/>
        </w:rPr>
        <w:t>напротив, препятствует</w:t>
      </w:r>
      <w:r w:rsidR="00146697">
        <w:rPr>
          <w:rFonts w:ascii="Times New Roman" w:hAnsi="Times New Roman" w:cs="Times New Roman"/>
          <w:sz w:val="28"/>
          <w:szCs w:val="28"/>
        </w:rPr>
        <w:t xml:space="preserve">. </w:t>
      </w:r>
      <w:r w:rsidR="00506AFF">
        <w:rPr>
          <w:rFonts w:ascii="Times New Roman" w:hAnsi="Times New Roman" w:cs="Times New Roman"/>
          <w:sz w:val="28"/>
          <w:szCs w:val="28"/>
        </w:rPr>
        <w:t>Так, например</w:t>
      </w:r>
      <w:r w:rsidR="00146697">
        <w:rPr>
          <w:rFonts w:ascii="Times New Roman" w:hAnsi="Times New Roman" w:cs="Times New Roman"/>
          <w:sz w:val="28"/>
          <w:szCs w:val="28"/>
        </w:rPr>
        <w:t xml:space="preserve">, в 2018 году </w:t>
      </w:r>
      <w:r w:rsidR="00506AFF">
        <w:rPr>
          <w:rFonts w:ascii="Times New Roman" w:hAnsi="Times New Roman" w:cs="Times New Roman"/>
          <w:sz w:val="28"/>
          <w:szCs w:val="28"/>
        </w:rPr>
        <w:t>поступило заявление от</w:t>
      </w:r>
      <w:r w:rsidR="00146697">
        <w:rPr>
          <w:rFonts w:ascii="Times New Roman" w:hAnsi="Times New Roman" w:cs="Times New Roman"/>
          <w:sz w:val="28"/>
          <w:szCs w:val="28"/>
        </w:rPr>
        <w:t xml:space="preserve"> </w:t>
      </w:r>
      <w:r w:rsidR="00506AFF">
        <w:rPr>
          <w:rFonts w:ascii="Times New Roman" w:hAnsi="Times New Roman" w:cs="Times New Roman"/>
          <w:sz w:val="28"/>
          <w:szCs w:val="28"/>
        </w:rPr>
        <w:t xml:space="preserve">Советника президента РФ Сергея Глазьева, о том, что наша страна «буксует в отсталой экономической парадигме», причиной которой является некомпетентная макроэкономическая политика ЦБ, приведшая в 2018 году к потере более чем 23 триллионов рублей </w:t>
      </w:r>
      <w:r w:rsidR="00506AFF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="00506AFF">
        <w:rPr>
          <w:rFonts w:ascii="Times New Roman" w:hAnsi="Times New Roman" w:cs="Times New Roman"/>
          <w:sz w:val="28"/>
          <w:szCs w:val="28"/>
        </w:rPr>
        <w:t>.</w:t>
      </w:r>
    </w:p>
    <w:p w:rsidR="00506AFF" w:rsidRDefault="00155ECB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за</w:t>
      </w:r>
      <w:r w:rsidR="0017369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ключается в том, что если все же Банк России препятствует развитию экономики России, препятствует достижению Россией экономического суверенитета, то никакие другие органы власти </w:t>
      </w:r>
      <w:r w:rsidR="00173699" w:rsidRPr="00506A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смогут помешать</w:t>
      </w:r>
      <w:r w:rsidR="0017369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0E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деструктивной, антигосударственной деятельности </w:t>
      </w:r>
      <w:r w:rsidR="0017369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r w:rsidR="000E60E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7369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«скромно</w:t>
      </w:r>
      <w:r w:rsidR="000E60E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юридического лица». Между тем, основная идея принципа разделения властей заключается в недопустимости узурпации власти для того, чтобы никакой субъект </w:t>
      </w:r>
      <w:r w:rsidR="00506AFF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государстве</w:t>
      </w:r>
      <w:r w:rsidR="000E60E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 проводить деструктивную антигосударственную, антинародную деятельность</w:t>
      </w:r>
      <w:r w:rsidR="000E60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155ECB" w:rsidRPr="00506AFF" w:rsidRDefault="000E60E9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 словами, ЦБ России </w:t>
      </w:r>
      <w:r w:rsidR="008E342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является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6A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неподконтрольны</w:t>
      </w:r>
      <w:r w:rsidR="008E3429" w:rsidRPr="00506A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никаким другим органам </w:t>
      </w:r>
      <w:r w:rsidR="00506AFF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власти субъектом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который, однако, осуществляет </w:t>
      </w:r>
      <w:r w:rsidRPr="00506A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исключительно важную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деятельность, деятельность, исключительно сильно влияющую на государственный суверенитет, на саму материально-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экономическую возможность существовании государства. </w:t>
      </w:r>
      <w:r w:rsidR="00911EF8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Причем, такая неподконтрольность закреплена конституционно, что существенно затрудняет изменение такого исключительного положения Банка России.</w:t>
      </w:r>
    </w:p>
    <w:p w:rsidR="00911EF8" w:rsidRPr="00F72B29" w:rsidRDefault="00911EF8" w:rsidP="006D015D">
      <w:pPr>
        <w:spacing w:after="0" w:line="360" w:lineRule="auto"/>
        <w:ind w:firstLine="709"/>
        <w:jc w:val="both"/>
        <w:rPr>
          <w:i/>
          <w:color w:val="FF0000"/>
        </w:rPr>
      </w:pP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Далее, серьезная </w:t>
      </w:r>
      <w:r w:rsidR="00506AFF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независимость Банка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</w:t>
      </w:r>
      <w:r w:rsidR="00506AFF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России проявляется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существенных сложностях смены руководителя (председателя) ЦБ</w:t>
      </w:r>
      <w:r w:rsidR="006D015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ставит его в особое положение по сравнению, например, не только с любым федеральным министром, но даже и </w:t>
      </w:r>
      <w:r w:rsidR="00506AFF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с Правительством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в целом</w:t>
      </w:r>
      <w:r w:rsidR="006D0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независимость ЦБ еще больше проявляется в том, что </w:t>
      </w:r>
      <w:r w:rsidR="00506AFF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ряд важнейших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экономического суверенитета и, соответственно, для общественно безопасности, решений принимается не лично председателем ЦБ России, а Советом директоров Банка России. И сменяемость членов этого совета тоже совсем не проста</w:t>
      </w:r>
      <w:r w:rsidR="00BB6F1A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сравнению, например, с отставкой </w:t>
      </w:r>
      <w:r w:rsidR="00F72B2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любого </w:t>
      </w:r>
      <w:r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министра или даже Правительства России)</w:t>
      </w:r>
      <w:r w:rsidR="00F72B2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Иными словами, ни для Председателя Банка России, ни для членов Совета директоров не предусмотрена возможность </w:t>
      </w:r>
      <w:r w:rsidR="001F460E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отстранения от должности за деструктивность (для интересов государства) именно профессиональной деятельности (например, за обрушение курса рубля, недоступность кредитов, рост инфляции и т.д.). А ведь отстранение от должности является одной из важнейших форм </w:t>
      </w:r>
      <w:r w:rsidR="00F72B29" w:rsidRPr="00506AF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6D015D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75E32" w:rsidRDefault="00D75E32" w:rsidP="00911EF8">
      <w:pPr>
        <w:rPr>
          <w:rStyle w:val="blk"/>
          <w:i/>
          <w:color w:val="FF0000"/>
        </w:rPr>
      </w:pPr>
    </w:p>
    <w:p w:rsidR="00D75E32" w:rsidRPr="00B2507C" w:rsidRDefault="00D75E32" w:rsidP="004F5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этого, серьезная </w:t>
      </w:r>
      <w:r w:rsidR="00BB6F1A" w:rsidRPr="00BB6F1A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независимость Банка</w:t>
      </w:r>
      <w:r w:rsidRPr="00BB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</w:t>
      </w:r>
      <w:r w:rsidR="00BB6F1A" w:rsidRPr="00BB6F1A">
        <w:rPr>
          <w:rFonts w:ascii="Times New Roman" w:hAnsi="Times New Roman" w:cs="Times New Roman"/>
          <w:color w:val="000000" w:themeColor="text1"/>
          <w:sz w:val="28"/>
          <w:szCs w:val="28"/>
        </w:rPr>
        <w:t>России проявляется</w:t>
      </w:r>
      <w:r w:rsidRPr="00BB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и в том, что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F460E">
        <w:rPr>
          <w:rFonts w:ascii="Times New Roman" w:hAnsi="Times New Roman" w:cs="Times New Roman"/>
          <w:sz w:val="28"/>
          <w:szCs w:val="28"/>
        </w:rPr>
        <w:t xml:space="preserve">в соответствии со статьёй </w:t>
      </w:r>
      <w:r w:rsidR="001F460E" w:rsidRPr="00BB6F1A">
        <w:rPr>
          <w:rFonts w:ascii="Times New Roman" w:hAnsi="Times New Roman" w:cs="Times New Roman"/>
          <w:color w:val="000000" w:themeColor="text1"/>
          <w:sz w:val="28"/>
          <w:szCs w:val="28"/>
        </w:rPr>
        <w:t>2 ФЗ</w:t>
      </w:r>
      <w:r w:rsidRPr="00BB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ЦБ</w:t>
      </w:r>
      <w:r w:rsidR="00BB6F1A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Pr="00D75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Банк России не </w:t>
      </w:r>
      <w:r w:rsidR="00BB6F1A">
        <w:rPr>
          <w:rFonts w:ascii="Times New Roman" w:hAnsi="Times New Roman" w:cs="Times New Roman"/>
          <w:sz w:val="28"/>
          <w:szCs w:val="28"/>
        </w:rPr>
        <w:t>отвечает по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обязательствам </w:t>
      </w:r>
      <w:r w:rsidR="00BB6F1A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BB6F1A" w:rsidRPr="00BB6F1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47156A" w:rsidRPr="004F5E45">
        <w:rPr>
          <w:rFonts w:ascii="Times New Roman" w:hAnsi="Times New Roman" w:cs="Times New Roman"/>
          <w:sz w:val="28"/>
          <w:szCs w:val="28"/>
        </w:rPr>
        <w:t xml:space="preserve"> этом ЦБ России аккумулирует у себя огромные финансовые активы </w:t>
      </w:r>
      <w:r w:rsidR="004F5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праве собственности </w:t>
      </w:r>
      <w:r w:rsidR="004F5E45" w:rsidRPr="00DB1930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="004F5E45" w:rsidRPr="00DB1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состоянию на 06.11.2020 равные 587,6 миллиардам долларов)</w:t>
      </w:r>
      <w:r w:rsidR="004F5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F5E45" w:rsidRPr="004F5E45">
        <w:rPr>
          <w:rFonts w:ascii="Times New Roman" w:hAnsi="Times New Roman" w:cs="Times New Roman"/>
          <w:sz w:val="28"/>
          <w:szCs w:val="28"/>
        </w:rPr>
        <w:t>Очень важно подчеркнуть, что</w:t>
      </w:r>
      <w:r w:rsidR="004F5E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5E45">
        <w:rPr>
          <w:rFonts w:ascii="Times New Roman" w:hAnsi="Times New Roman" w:cs="Times New Roman"/>
          <w:sz w:val="28"/>
          <w:szCs w:val="28"/>
        </w:rPr>
        <w:t xml:space="preserve">Российской Федерации на праве федеральной </w:t>
      </w:r>
      <w:r w:rsidR="004F5E45">
        <w:rPr>
          <w:rFonts w:ascii="Times New Roman" w:hAnsi="Times New Roman" w:cs="Times New Roman"/>
          <w:sz w:val="28"/>
          <w:szCs w:val="28"/>
        </w:rPr>
        <w:lastRenderedPageBreak/>
        <w:t>собственности принадлежит л</w:t>
      </w:r>
      <w:r w:rsidR="00BB6F1A">
        <w:rPr>
          <w:rFonts w:ascii="Times New Roman" w:hAnsi="Times New Roman" w:cs="Times New Roman"/>
          <w:sz w:val="28"/>
          <w:szCs w:val="28"/>
        </w:rPr>
        <w:t xml:space="preserve">ишь уставной капитал ЦБ, равный </w:t>
      </w:r>
      <w:r w:rsidR="004F5E45">
        <w:rPr>
          <w:rFonts w:ascii="Times New Roman" w:hAnsi="Times New Roman" w:cs="Times New Roman"/>
          <w:sz w:val="28"/>
          <w:szCs w:val="28"/>
        </w:rPr>
        <w:t xml:space="preserve">3 миллиардам рублей и его имущество, но </w:t>
      </w:r>
      <w:r w:rsidR="00BB6F1A">
        <w:rPr>
          <w:rFonts w:ascii="Times New Roman" w:hAnsi="Times New Roman" w:cs="Times New Roman"/>
          <w:sz w:val="28"/>
          <w:szCs w:val="28"/>
        </w:rPr>
        <w:t>не золотовалютные резервы ЦБ РФ.</w:t>
      </w:r>
      <w:r w:rsidR="004F5E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5E45" w:rsidRPr="004F5E45">
        <w:rPr>
          <w:rFonts w:ascii="Times New Roman" w:hAnsi="Times New Roman" w:cs="Times New Roman"/>
          <w:sz w:val="28"/>
          <w:szCs w:val="28"/>
        </w:rPr>
        <w:t>Конкретным воплощением этой финансовой независимости ЦБ России от самой России</w:t>
      </w:r>
      <w:r w:rsidR="004F5E45">
        <w:rPr>
          <w:rFonts w:ascii="Times New Roman" w:hAnsi="Times New Roman" w:cs="Times New Roman"/>
          <w:sz w:val="28"/>
          <w:szCs w:val="28"/>
        </w:rPr>
        <w:t xml:space="preserve"> является положение о том, что и</w:t>
      </w:r>
      <w:r w:rsidR="004F5E45" w:rsidRPr="007B10D2">
        <w:rPr>
          <w:rFonts w:ascii="Times New Roman" w:hAnsi="Times New Roman" w:cs="Times New Roman"/>
          <w:sz w:val="28"/>
          <w:szCs w:val="28"/>
        </w:rPr>
        <w:t>зъятие и обременение обязательствами указанного имущества без согласия Банка России не допускаются</w:t>
      </w:r>
      <w:r w:rsidR="00BB6F1A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="00BB6F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5E9" w:rsidRDefault="00C155E9" w:rsidP="00C155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 можно сказать, что Центральный Банк России, является независимым юридическим лицом по отношению к Российской Федерации, но при этом осуще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ствляющим важнейшие финансово-экономические функции, необходимые для обеспечения государственного суверенитета как неотъемлемого элемента государственного суверенитета, для осуществления государством его главной цели - развитие или выживание народа без потери нацио</w:t>
      </w:r>
      <w:r w:rsidR="006D015D">
        <w:rPr>
          <w:rFonts w:ascii="Times New Roman" w:hAnsi="Times New Roman" w:cs="Times New Roman"/>
          <w:sz w:val="28"/>
          <w:szCs w:val="28"/>
        </w:rPr>
        <w:t>нально-культурной идентичности п</w:t>
      </w:r>
      <w:r>
        <w:rPr>
          <w:rFonts w:ascii="Times New Roman" w:hAnsi="Times New Roman" w:cs="Times New Roman"/>
          <w:sz w:val="28"/>
          <w:szCs w:val="28"/>
        </w:rPr>
        <w:t xml:space="preserve">од воздействием различных факторов. </w:t>
      </w:r>
      <w:r w:rsidRPr="00B2602E">
        <w:rPr>
          <w:rFonts w:ascii="Times New Roman" w:hAnsi="Times New Roman" w:cs="Times New Roman"/>
          <w:color w:val="000000"/>
          <w:sz w:val="28"/>
          <w:szCs w:val="28"/>
        </w:rPr>
        <w:t>В следстви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е этого</w:t>
      </w:r>
      <w:r w:rsidRPr="00B2602E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объективная необходимость в изменении правового статуса Банка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превращения его в реальную часть государственного аппарата России</w:t>
      </w:r>
      <w:r w:rsidRPr="00B2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55E9" w:rsidRPr="004B6003" w:rsidRDefault="00C155E9" w:rsidP="002C2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03" w:rsidRPr="004B6003" w:rsidRDefault="004B6003" w:rsidP="004B6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EF8" w:rsidRPr="00911EF8" w:rsidRDefault="00911EF8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E60E9" w:rsidRDefault="000E60E9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0E9" w:rsidRDefault="000E60E9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0E9" w:rsidRDefault="000E60E9" w:rsidP="00734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69A" w:rsidRPr="00F7778B" w:rsidRDefault="0083669A" w:rsidP="00734FE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83669A" w:rsidRPr="00F7778B" w:rsidSect="003C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7B" w:rsidRDefault="0054017B" w:rsidP="004B0433">
      <w:pPr>
        <w:spacing w:after="0" w:line="240" w:lineRule="auto"/>
      </w:pPr>
      <w:r>
        <w:separator/>
      </w:r>
    </w:p>
  </w:endnote>
  <w:endnote w:type="continuationSeparator" w:id="0">
    <w:p w:rsidR="0054017B" w:rsidRDefault="0054017B" w:rsidP="004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7B" w:rsidRDefault="0054017B" w:rsidP="004B0433">
      <w:pPr>
        <w:spacing w:after="0" w:line="240" w:lineRule="auto"/>
      </w:pPr>
      <w:r>
        <w:separator/>
      </w:r>
    </w:p>
  </w:footnote>
  <w:footnote w:type="continuationSeparator" w:id="0">
    <w:p w:rsidR="0054017B" w:rsidRDefault="0054017B" w:rsidP="004B0433">
      <w:pPr>
        <w:spacing w:after="0" w:line="240" w:lineRule="auto"/>
      </w:pPr>
      <w:r>
        <w:continuationSeparator/>
      </w:r>
    </w:p>
  </w:footnote>
  <w:footnote w:id="1">
    <w:p w:rsidR="00AB02E8" w:rsidRPr="00AB02E8" w:rsidRDefault="00AB02E8">
      <w:pPr>
        <w:pStyle w:val="a4"/>
        <w:rPr>
          <w:rFonts w:ascii="Times New Roman" w:hAnsi="Times New Roman" w:cs="Times New Roman"/>
          <w:sz w:val="28"/>
          <w:szCs w:val="28"/>
        </w:rPr>
      </w:pPr>
      <w:r w:rsidRPr="003D530C">
        <w:rPr>
          <w:rStyle w:val="a7"/>
          <w:rFonts w:cstheme="minorHAnsi"/>
        </w:rPr>
        <w:footnoteRef/>
      </w:r>
      <w:hyperlink r:id="rId1" w:history="1">
        <w:r w:rsidRPr="00AB02E8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http://www.consultant.ru/document/cons_doc_LAW_37570/4f84b42935e2a5743f1b5e1591668be0c41b762d/</w:t>
        </w:r>
      </w:hyperlink>
      <w:r w:rsidR="003D530C">
        <w:rPr>
          <w:rFonts w:ascii="Times New Roman" w:hAnsi="Times New Roman" w:cs="Times New Roman"/>
          <w:sz w:val="28"/>
          <w:szCs w:val="28"/>
        </w:rPr>
        <w:t xml:space="preserve"> </w:t>
      </w:r>
      <w:r w:rsidR="00146697">
        <w:rPr>
          <w:rFonts w:ascii="Times New Roman" w:hAnsi="Times New Roman" w:cs="Times New Roman"/>
          <w:sz w:val="28"/>
          <w:szCs w:val="28"/>
        </w:rPr>
        <w:t>(</w:t>
      </w:r>
      <w:r w:rsidR="003D530C">
        <w:rPr>
          <w:rFonts w:ascii="Times New Roman" w:hAnsi="Times New Roman" w:cs="Times New Roman"/>
          <w:sz w:val="28"/>
          <w:szCs w:val="28"/>
        </w:rPr>
        <w:t>дата обращения 07.11.20 г.).</w:t>
      </w:r>
    </w:p>
  </w:footnote>
  <w:footnote w:id="2">
    <w:p w:rsidR="003D530C" w:rsidRDefault="003D530C">
      <w:pPr>
        <w:pStyle w:val="a4"/>
      </w:pPr>
      <w:r>
        <w:rPr>
          <w:rStyle w:val="a7"/>
        </w:rPr>
        <w:footnoteRef/>
      </w:r>
      <w:hyperlink r:id="rId2" w:history="1">
        <w:r w:rsidRPr="003D530C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http://www.consultant.ru/document/cons_doc_LAW_37570/b4462d67983458f852997a29344a8d8cb4cc611e/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07.11.20 г.).</w:t>
      </w:r>
    </w:p>
  </w:footnote>
  <w:footnote w:id="3">
    <w:p w:rsidR="004B0433" w:rsidRPr="004B0433" w:rsidRDefault="004B0433">
      <w:pPr>
        <w:pStyle w:val="a4"/>
      </w:pPr>
      <w:r>
        <w:rPr>
          <w:rStyle w:val="a7"/>
        </w:rPr>
        <w:footnoteRef/>
      </w:r>
      <w:hyperlink r:id="rId3" w:history="1">
        <w:r w:rsidRPr="00A2146F">
          <w:rPr>
            <w:rStyle w:val="a6"/>
            <w:rFonts w:ascii="Times New Roman" w:hAnsi="Times New Roman" w:cs="Times New Roman"/>
            <w:sz w:val="28"/>
            <w:szCs w:val="28"/>
          </w:rPr>
          <w:t>https://taxslov.ru/res/res2020_ul.htm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07.11.20 г.).</w:t>
      </w:r>
    </w:p>
  </w:footnote>
  <w:footnote w:id="4">
    <w:p w:rsidR="00146697" w:rsidRPr="00146697" w:rsidRDefault="00146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hyperlink r:id="rId4" w:history="1">
        <w:r w:rsidRPr="00146697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http://www.consultant.ru/document/cons_doc_LAW_28399/4db010c9950baa1d07371f4a0ab352d5a0027d20/#dst100308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07.11.20 Г.).</w:t>
      </w:r>
    </w:p>
  </w:footnote>
  <w:footnote w:id="5">
    <w:p w:rsidR="00146697" w:rsidRDefault="00146697">
      <w:pPr>
        <w:pStyle w:val="a4"/>
      </w:pPr>
      <w:r>
        <w:rPr>
          <w:rStyle w:val="a7"/>
        </w:rPr>
        <w:footnoteRef/>
      </w:r>
      <w:r>
        <w:t xml:space="preserve"> </w:t>
      </w:r>
      <w:hyperlink r:id="rId5" w:history="1">
        <w:r w:rsidRPr="00146697">
          <w:rPr>
            <w:rStyle w:val="a6"/>
            <w:rFonts w:ascii="Times New Roman" w:hAnsi="Times New Roman" w:cs="Times New Roman"/>
            <w:sz w:val="28"/>
            <w:szCs w:val="28"/>
          </w:rPr>
          <w:t>https://tass.ru/hronika-padeniya-rublya/1923508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 дата обращения 07.11.20 г.).</w:t>
      </w:r>
    </w:p>
  </w:footnote>
  <w:footnote w:id="6">
    <w:p w:rsidR="00506AFF" w:rsidRDefault="00506AFF">
      <w:pPr>
        <w:pStyle w:val="a4"/>
      </w:pPr>
      <w:r>
        <w:rPr>
          <w:rStyle w:val="a7"/>
        </w:rPr>
        <w:footnoteRef/>
      </w:r>
      <w:r>
        <w:t xml:space="preserve"> </w:t>
      </w:r>
      <w:hyperlink r:id="rId6" w:history="1">
        <w:r w:rsidRPr="00506AFF">
          <w:rPr>
            <w:rStyle w:val="a6"/>
            <w:rFonts w:ascii="Times New Roman" w:hAnsi="Times New Roman" w:cs="Times New Roman"/>
            <w:sz w:val="28"/>
            <w:szCs w:val="28"/>
          </w:rPr>
          <w:t>https://tass.ru/ekonomika/5088362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 дата обращения 07.11.20 г.).</w:t>
      </w:r>
    </w:p>
  </w:footnote>
  <w:footnote w:id="7">
    <w:p w:rsidR="006D015D" w:rsidRDefault="006D015D">
      <w:pPr>
        <w:pStyle w:val="a4"/>
      </w:pPr>
      <w:r>
        <w:rPr>
          <w:rStyle w:val="a7"/>
        </w:rPr>
        <w:footnoteRef/>
      </w:r>
      <w:hyperlink r:id="rId7" w:history="1">
        <w:r w:rsidRPr="006D015D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http://www.consultant.ru/document/cons_doc_LAW_37570/a51704dfe938fd13fb7a3b3a6263f147329aa50a/</w:t>
        </w:r>
      </w:hyperlink>
    </w:p>
  </w:footnote>
  <w:footnote w:id="8">
    <w:p w:rsidR="00BB6F1A" w:rsidRDefault="00BB6F1A">
      <w:pPr>
        <w:pStyle w:val="a4"/>
      </w:pPr>
      <w:r>
        <w:rPr>
          <w:rStyle w:val="a7"/>
        </w:rPr>
        <w:footnoteRef/>
      </w:r>
      <w:hyperlink r:id="rId8" w:history="1">
        <w:r w:rsidRPr="00BB6F1A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http://www.consultant.ru/document/cons_doc_LAW_37570/47f211359c4b43c16ee5ed84b18c4414272fe57e/</w:t>
        </w:r>
      </w:hyperlink>
    </w:p>
  </w:footnote>
  <w:footnote w:id="9">
    <w:p w:rsidR="00BB6F1A" w:rsidRDefault="00BB6F1A">
      <w:pPr>
        <w:pStyle w:val="a4"/>
      </w:pPr>
      <w:r>
        <w:rPr>
          <w:rStyle w:val="a7"/>
        </w:rPr>
        <w:footnoteRef/>
      </w:r>
      <w:hyperlink r:id="rId9" w:history="1">
        <w:r w:rsidRPr="00BB6F1A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http://www.consultant.ru/document/cons_doc_LAW_37570/29b331ed29f71a20829a4761c5edb066b266b9ff/</w:t>
        </w:r>
      </w:hyperlink>
    </w:p>
  </w:footnote>
  <w:footnote w:id="10">
    <w:p w:rsidR="00BB6F1A" w:rsidRDefault="00BB6F1A">
      <w:pPr>
        <w:pStyle w:val="a4"/>
      </w:pPr>
      <w:r>
        <w:rPr>
          <w:rStyle w:val="a7"/>
        </w:rPr>
        <w:footnoteRef/>
      </w:r>
      <w:hyperlink r:id="rId10" w:history="1">
        <w:r w:rsidRPr="00BB6F1A">
          <w:rPr>
            <w:rStyle w:val="a6"/>
            <w:rFonts w:ascii="Times New Roman" w:hAnsi="Times New Roman" w:cs="Times New Roman"/>
            <w:sz w:val="28"/>
            <w:szCs w:val="28"/>
          </w:rPr>
          <w:t>http://www.consultant.ru/document/cons_doc_LAW_37570/29b331ed29f71a20829a4761c5edb066b266b9ff/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624"/>
    <w:rsid w:val="00010E0F"/>
    <w:rsid w:val="000364FD"/>
    <w:rsid w:val="0004106E"/>
    <w:rsid w:val="000D02AC"/>
    <w:rsid w:val="000E60E9"/>
    <w:rsid w:val="000F1FB2"/>
    <w:rsid w:val="000F56B5"/>
    <w:rsid w:val="000F6CB1"/>
    <w:rsid w:val="00146697"/>
    <w:rsid w:val="00155ECB"/>
    <w:rsid w:val="001677BB"/>
    <w:rsid w:val="00173699"/>
    <w:rsid w:val="001F1BDC"/>
    <w:rsid w:val="001F460E"/>
    <w:rsid w:val="001F4D19"/>
    <w:rsid w:val="002004ED"/>
    <w:rsid w:val="00231C01"/>
    <w:rsid w:val="00285BE7"/>
    <w:rsid w:val="002B3A16"/>
    <w:rsid w:val="002B7739"/>
    <w:rsid w:val="002C2008"/>
    <w:rsid w:val="002F726E"/>
    <w:rsid w:val="00307CC8"/>
    <w:rsid w:val="00330D2A"/>
    <w:rsid w:val="00340D72"/>
    <w:rsid w:val="003736E7"/>
    <w:rsid w:val="003C7BC9"/>
    <w:rsid w:val="003D530C"/>
    <w:rsid w:val="003E00BC"/>
    <w:rsid w:val="00417C5F"/>
    <w:rsid w:val="00423D48"/>
    <w:rsid w:val="0047156A"/>
    <w:rsid w:val="00473FBF"/>
    <w:rsid w:val="00485A87"/>
    <w:rsid w:val="0049235B"/>
    <w:rsid w:val="004B0433"/>
    <w:rsid w:val="004B6003"/>
    <w:rsid w:val="004B7765"/>
    <w:rsid w:val="004F5E45"/>
    <w:rsid w:val="00506AFF"/>
    <w:rsid w:val="0054017B"/>
    <w:rsid w:val="005A0A1A"/>
    <w:rsid w:val="005B5C30"/>
    <w:rsid w:val="005B7AB9"/>
    <w:rsid w:val="005D5D43"/>
    <w:rsid w:val="005F3C59"/>
    <w:rsid w:val="006429C8"/>
    <w:rsid w:val="00675BC1"/>
    <w:rsid w:val="006C15D2"/>
    <w:rsid w:val="006D015D"/>
    <w:rsid w:val="0070143D"/>
    <w:rsid w:val="00734FE8"/>
    <w:rsid w:val="0073603B"/>
    <w:rsid w:val="007400AA"/>
    <w:rsid w:val="00767114"/>
    <w:rsid w:val="007B10D2"/>
    <w:rsid w:val="007C53FE"/>
    <w:rsid w:val="007C7D02"/>
    <w:rsid w:val="00815B6E"/>
    <w:rsid w:val="0083669A"/>
    <w:rsid w:val="008653F4"/>
    <w:rsid w:val="00873072"/>
    <w:rsid w:val="00880758"/>
    <w:rsid w:val="008A41E1"/>
    <w:rsid w:val="008E3429"/>
    <w:rsid w:val="008E6AFA"/>
    <w:rsid w:val="008F0D04"/>
    <w:rsid w:val="00900968"/>
    <w:rsid w:val="00911EF8"/>
    <w:rsid w:val="00940CE0"/>
    <w:rsid w:val="00941A21"/>
    <w:rsid w:val="0098583E"/>
    <w:rsid w:val="009D1520"/>
    <w:rsid w:val="009D4982"/>
    <w:rsid w:val="009E0DE9"/>
    <w:rsid w:val="00A21064"/>
    <w:rsid w:val="00A47970"/>
    <w:rsid w:val="00AB02E8"/>
    <w:rsid w:val="00AD04B6"/>
    <w:rsid w:val="00AF28AE"/>
    <w:rsid w:val="00B2507C"/>
    <w:rsid w:val="00B2602E"/>
    <w:rsid w:val="00B6614D"/>
    <w:rsid w:val="00B94D7D"/>
    <w:rsid w:val="00BB6F1A"/>
    <w:rsid w:val="00BF2391"/>
    <w:rsid w:val="00BF6624"/>
    <w:rsid w:val="00C155E9"/>
    <w:rsid w:val="00C24C6E"/>
    <w:rsid w:val="00C7076D"/>
    <w:rsid w:val="00D14A04"/>
    <w:rsid w:val="00D23867"/>
    <w:rsid w:val="00D4221E"/>
    <w:rsid w:val="00D75E32"/>
    <w:rsid w:val="00DB1930"/>
    <w:rsid w:val="00DB5E88"/>
    <w:rsid w:val="00DB6B5D"/>
    <w:rsid w:val="00E50215"/>
    <w:rsid w:val="00E66D4E"/>
    <w:rsid w:val="00E75042"/>
    <w:rsid w:val="00EC0E59"/>
    <w:rsid w:val="00F33164"/>
    <w:rsid w:val="00F72B29"/>
    <w:rsid w:val="00F7778B"/>
    <w:rsid w:val="00F804DF"/>
    <w:rsid w:val="00F82D7D"/>
    <w:rsid w:val="00F92A81"/>
    <w:rsid w:val="00FB764C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38AE"/>
  <w15:docId w15:val="{EAC79EAC-125F-4349-A112-C80CC279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0E"/>
  </w:style>
  <w:style w:type="paragraph" w:styleId="1">
    <w:name w:val="heading 1"/>
    <w:basedOn w:val="a"/>
    <w:link w:val="10"/>
    <w:uiPriority w:val="9"/>
    <w:qFormat/>
    <w:rsid w:val="00911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210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1064"/>
    <w:rPr>
      <w:sz w:val="20"/>
      <w:szCs w:val="20"/>
    </w:rPr>
  </w:style>
  <w:style w:type="character" w:styleId="a6">
    <w:name w:val="Hyperlink"/>
    <w:basedOn w:val="a0"/>
    <w:uiPriority w:val="99"/>
    <w:unhideWhenUsed/>
    <w:rsid w:val="00900968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4B043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11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11EF8"/>
  </w:style>
  <w:style w:type="character" w:customStyle="1" w:styleId="extended-textshort">
    <w:name w:val="extended-text__short"/>
    <w:basedOn w:val="a0"/>
    <w:rsid w:val="002C2008"/>
  </w:style>
  <w:style w:type="character" w:styleId="a8">
    <w:name w:val="Strong"/>
    <w:basedOn w:val="a0"/>
    <w:uiPriority w:val="22"/>
    <w:qFormat/>
    <w:rsid w:val="00873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570/47f211359c4b43c16ee5ed84b18c4414272fe57e/" TargetMode="External"/><Relationship Id="rId3" Type="http://schemas.openxmlformats.org/officeDocument/2006/relationships/hyperlink" Target="https://taxslov.ru/res/res2020_ul.htm" TargetMode="External"/><Relationship Id="rId7" Type="http://schemas.openxmlformats.org/officeDocument/2006/relationships/hyperlink" Target="http://www.consultant.ru/document/cons_doc_LAW_37570/a51704dfe938fd13fb7a3b3a6263f147329aa50a/" TargetMode="External"/><Relationship Id="rId2" Type="http://schemas.openxmlformats.org/officeDocument/2006/relationships/hyperlink" Target="http://www.consultant.ru/document/cons_doc_LAW_37570/b4462d67983458f852997a29344a8d8cb4cc611e/" TargetMode="External"/><Relationship Id="rId1" Type="http://schemas.openxmlformats.org/officeDocument/2006/relationships/hyperlink" Target="http://www.consultant.ru/document/cons_doc_LAW_37570/4f84b42935e2a5743f1b5e1591668be0c41b762d/" TargetMode="External"/><Relationship Id="rId6" Type="http://schemas.openxmlformats.org/officeDocument/2006/relationships/hyperlink" Target="https://tass.ru/ekonomika/5088362" TargetMode="External"/><Relationship Id="rId5" Type="http://schemas.openxmlformats.org/officeDocument/2006/relationships/hyperlink" Target="https://tass.ru/hronika-padeniya-rublya/1923508" TargetMode="External"/><Relationship Id="rId10" Type="http://schemas.openxmlformats.org/officeDocument/2006/relationships/hyperlink" Target="http://www.consultant.ru/document/cons_doc_LAW_37570/29b331ed29f71a20829a4761c5edb066b266b9ff/" TargetMode="External"/><Relationship Id="rId4" Type="http://schemas.openxmlformats.org/officeDocument/2006/relationships/hyperlink" Target="http://www.consultant.ru/document/cons_doc_LAW_28399/4db010c9950baa1d07371f4a0ab352d5a0027d20/%23dst100308" TargetMode="External"/><Relationship Id="rId9" Type="http://schemas.openxmlformats.org/officeDocument/2006/relationships/hyperlink" Target="http://www.consultant.ru/document/cons_doc_LAW_37570/29b331ed29f71a20829a4761c5edb066b266b9f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452C3-FB34-445C-8CDE-2452B8F0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2020-11-08T09:03:00Z</dcterms:created>
  <dcterms:modified xsi:type="dcterms:W3CDTF">2020-11-15T16:54:00Z</dcterms:modified>
</cp:coreProperties>
</file>