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A6" w:rsidRPr="00716DA6" w:rsidRDefault="00716DA6" w:rsidP="00716DA6">
      <w:pPr>
        <w:shd w:val="clear" w:color="auto" w:fill="FFFFFF"/>
        <w:spacing w:after="0" w:line="240" w:lineRule="auto"/>
        <w:jc w:val="right"/>
        <w:rPr>
          <w:rFonts w:ascii="Roboto" w:eastAsia="Times New Roman" w:hAnsi="Roboto"/>
          <w:i w:val="0"/>
          <w:iCs w:val="0"/>
          <w:color w:val="38383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b/>
          <w:bCs/>
          <w:i w:val="0"/>
          <w:iCs w:val="0"/>
          <w:color w:val="383838"/>
          <w:sz w:val="17"/>
          <w:lang w:val="ru-RU" w:eastAsia="ru-RU" w:bidi="ar-SA"/>
        </w:rPr>
        <w:t>Статья опубликована в рамках:</w:t>
      </w:r>
      <w:r>
        <w:rPr>
          <w:rFonts w:ascii="Roboto" w:eastAsia="Times New Roman" w:hAnsi="Roboto"/>
          <w:b/>
          <w:bCs/>
          <w:i w:val="0"/>
          <w:iCs w:val="0"/>
          <w:color w:val="383838"/>
          <w:sz w:val="17"/>
          <w:lang w:val="ru-RU" w:eastAsia="ru-RU" w:bidi="ar-SA"/>
        </w:rPr>
        <w:t xml:space="preserve"> </w:t>
      </w:r>
      <w:hyperlink r:id="rId5" w:history="1">
        <w:r w:rsidRPr="00716DA6">
          <w:rPr>
            <w:rFonts w:ascii="Roboto" w:eastAsia="Times New Roman" w:hAnsi="Roboto"/>
            <w:b/>
            <w:bCs/>
            <w:i w:val="0"/>
            <w:iCs w:val="0"/>
            <w:color w:val="E57648"/>
            <w:sz w:val="17"/>
            <w:lang w:val="ru-RU" w:eastAsia="ru-RU" w:bidi="ar-SA"/>
          </w:rPr>
          <w:t xml:space="preserve"> Международной научно-практической конференции «Научные достижения биологии, химии, физики» </w:t>
        </w:r>
      </w:hyperlink>
    </w:p>
    <w:p w:rsidR="00716DA6" w:rsidRPr="00716DA6" w:rsidRDefault="00716DA6" w:rsidP="00716DA6">
      <w:pPr>
        <w:shd w:val="clear" w:color="auto" w:fill="FFFFFF"/>
        <w:spacing w:after="0" w:line="240" w:lineRule="auto"/>
        <w:jc w:val="right"/>
        <w:rPr>
          <w:rFonts w:ascii="Roboto" w:eastAsia="Times New Roman" w:hAnsi="Roboto"/>
          <w:i w:val="0"/>
          <w:iCs w:val="0"/>
          <w:color w:val="38383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b/>
          <w:bCs/>
          <w:i w:val="0"/>
          <w:iCs w:val="0"/>
          <w:color w:val="383838"/>
          <w:sz w:val="17"/>
          <w:lang w:val="ru-RU" w:eastAsia="ru-RU" w:bidi="ar-SA"/>
        </w:rPr>
        <w:t>Наука: </w:t>
      </w:r>
      <w:hyperlink r:id="rId6" w:history="1">
        <w:r w:rsidRPr="00716DA6">
          <w:rPr>
            <w:rFonts w:ascii="Roboto" w:eastAsia="Times New Roman" w:hAnsi="Roboto"/>
            <w:b/>
            <w:bCs/>
            <w:i w:val="0"/>
            <w:iCs w:val="0"/>
            <w:color w:val="E57648"/>
            <w:sz w:val="17"/>
            <w:u w:val="single"/>
            <w:lang w:val="ru-RU" w:eastAsia="ru-RU" w:bidi="ar-SA"/>
          </w:rPr>
          <w:t>Химия</w:t>
        </w:r>
      </w:hyperlink>
    </w:p>
    <w:p w:rsidR="00716DA6" w:rsidRPr="00716DA6" w:rsidRDefault="00716DA6" w:rsidP="00716DA6">
      <w:pPr>
        <w:shd w:val="clear" w:color="auto" w:fill="FFFFFF"/>
        <w:spacing w:after="0" w:line="240" w:lineRule="auto"/>
        <w:jc w:val="right"/>
        <w:rPr>
          <w:rFonts w:ascii="Roboto" w:eastAsia="Times New Roman" w:hAnsi="Roboto"/>
          <w:i w:val="0"/>
          <w:iCs w:val="0"/>
          <w:color w:val="38383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b/>
          <w:bCs/>
          <w:i w:val="0"/>
          <w:iCs w:val="0"/>
          <w:color w:val="383838"/>
          <w:sz w:val="17"/>
          <w:lang w:val="ru-RU" w:eastAsia="ru-RU" w:bidi="ar-SA"/>
        </w:rPr>
        <w:t>Секция: </w:t>
      </w:r>
      <w:hyperlink r:id="rId7" w:history="1">
        <w:r w:rsidRPr="00716DA6">
          <w:rPr>
            <w:rFonts w:ascii="Roboto" w:eastAsia="Times New Roman" w:hAnsi="Roboto"/>
            <w:b/>
            <w:bCs/>
            <w:i w:val="0"/>
            <w:iCs w:val="0"/>
            <w:color w:val="E57648"/>
            <w:sz w:val="17"/>
            <w:u w:val="single"/>
            <w:lang w:val="ru-RU" w:eastAsia="ru-RU" w:bidi="ar-SA"/>
          </w:rPr>
          <w:t>Аналитическая химия</w:t>
        </w:r>
      </w:hyperlink>
    </w:p>
    <w:p w:rsidR="005D7DF1" w:rsidRDefault="005D7DF1" w:rsidP="00716DA6">
      <w:pPr>
        <w:jc w:val="right"/>
        <w:rPr>
          <w:i w:val="0"/>
          <w:sz w:val="22"/>
          <w:szCs w:val="22"/>
          <w:lang w:val="ru-RU"/>
        </w:rPr>
      </w:pPr>
    </w:p>
    <w:p w:rsidR="00716DA6" w:rsidRPr="00716DA6" w:rsidRDefault="00716DA6" w:rsidP="00716DA6">
      <w:pPr>
        <w:spacing w:after="0" w:line="240" w:lineRule="auto"/>
        <w:jc w:val="center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716DA6">
        <w:rPr>
          <w:rFonts w:eastAsia="Times New Roman"/>
          <w:b/>
          <w:bCs/>
          <w:i w:val="0"/>
          <w:iCs w:val="0"/>
          <w:sz w:val="24"/>
          <w:szCs w:val="24"/>
          <w:lang w:val="ru-RU" w:eastAsia="ru-RU" w:bidi="ar-SA"/>
        </w:rPr>
        <w:t>ГРУППОВОЕ КОНЦЕНТРИРОВАНИЕ И ОПРЕДЕЛЕНИЕ ТЯЖЕЛЫХ МЕТАЛЛОВ В РАЗЛИЧНЫХ ОБЪЕКТАХ</w:t>
      </w:r>
    </w:p>
    <w:p w:rsidR="00716DA6" w:rsidRDefault="00716DA6" w:rsidP="00716DA6">
      <w:pPr>
        <w:jc w:val="center"/>
        <w:rPr>
          <w:i w:val="0"/>
          <w:sz w:val="28"/>
          <w:szCs w:val="28"/>
          <w:lang w:val="ru-RU"/>
        </w:rPr>
      </w:pPr>
      <w:r w:rsidRPr="00716DA6">
        <w:rPr>
          <w:rFonts w:ascii="Roboto" w:eastAsia="Times New Roman" w:hAnsi="Roboto"/>
          <w:i w:val="0"/>
          <w:iCs w:val="0"/>
          <w:sz w:val="17"/>
          <w:szCs w:val="17"/>
          <w:shd w:val="clear" w:color="auto" w:fill="FFFFFF"/>
          <w:lang w:val="ru-RU" w:eastAsia="ru-RU" w:bidi="ar-SA"/>
        </w:rPr>
        <w:br/>
      </w:r>
      <w:r w:rsidRPr="00716DA6">
        <w:rPr>
          <w:rFonts w:ascii="Roboto" w:eastAsia="Times New Roman" w:hAnsi="Roboto"/>
          <w:i w:val="0"/>
          <w:iCs w:val="0"/>
          <w:sz w:val="17"/>
          <w:szCs w:val="17"/>
          <w:shd w:val="clear" w:color="auto" w:fill="FFFFFF"/>
          <w:lang w:val="ru-RU" w:eastAsia="ru-RU" w:bidi="ar-SA"/>
        </w:rPr>
        <w:br/>
      </w:r>
      <w:proofErr w:type="spellStart"/>
      <w:r w:rsidRPr="00716DA6">
        <w:rPr>
          <w:i w:val="0"/>
          <w:sz w:val="28"/>
          <w:szCs w:val="28"/>
          <w:lang w:val="ru-RU"/>
        </w:rPr>
        <w:t>Маметаннаев</w:t>
      </w:r>
      <w:proofErr w:type="spellEnd"/>
      <w:r w:rsidRPr="00716DA6">
        <w:rPr>
          <w:i w:val="0"/>
          <w:sz w:val="28"/>
          <w:szCs w:val="28"/>
          <w:lang w:val="ru-RU"/>
        </w:rPr>
        <w:t xml:space="preserve"> </w:t>
      </w:r>
      <w:proofErr w:type="spellStart"/>
      <w:r w:rsidRPr="00716DA6">
        <w:rPr>
          <w:i w:val="0"/>
          <w:sz w:val="28"/>
          <w:szCs w:val="28"/>
          <w:lang w:val="ru-RU"/>
        </w:rPr>
        <w:t>Довран</w:t>
      </w:r>
      <w:proofErr w:type="spellEnd"/>
    </w:p>
    <w:p w:rsidR="00CB2028" w:rsidRDefault="00CB2028" w:rsidP="00716DA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Style w:val="a8"/>
          <w:b w:val="0"/>
          <w:i w:val="0"/>
          <w:color w:val="000000"/>
          <w:shd w:val="clear" w:color="auto" w:fill="FFFFFF"/>
          <w:lang w:val="ru-RU"/>
        </w:rPr>
      </w:pPr>
      <w:r w:rsidRPr="00716DA6">
        <w:rPr>
          <w:rStyle w:val="a8"/>
          <w:b w:val="0"/>
          <w:i w:val="0"/>
          <w:color w:val="000000"/>
          <w:shd w:val="clear" w:color="auto" w:fill="FFFFFF"/>
          <w:lang w:val="ru-RU"/>
        </w:rPr>
        <w:t>студент 2 курс</w:t>
      </w:r>
    </w:p>
    <w:p w:rsidR="00716DA6" w:rsidRPr="00716DA6" w:rsidRDefault="00716DA6" w:rsidP="00716DA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Style w:val="a8"/>
          <w:b w:val="0"/>
          <w:i w:val="0"/>
          <w:color w:val="000000"/>
          <w:shd w:val="clear" w:color="auto" w:fill="FFFFFF"/>
          <w:lang w:val="ru-RU"/>
        </w:rPr>
      </w:pPr>
      <w:r w:rsidRPr="00716DA6">
        <w:rPr>
          <w:rStyle w:val="a8"/>
          <w:b w:val="0"/>
          <w:i w:val="0"/>
          <w:color w:val="000000"/>
          <w:shd w:val="clear" w:color="auto" w:fill="FFFFFF"/>
          <w:lang w:val="ru-RU"/>
        </w:rPr>
        <w:t>Факультет педагогического образования и биологии, направление «Химия окружающей среды»</w:t>
      </w:r>
    </w:p>
    <w:p w:rsidR="00716DA6" w:rsidRPr="00716DA6" w:rsidRDefault="00716DA6" w:rsidP="00716DA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Style w:val="a8"/>
          <w:b w:val="0"/>
          <w:i w:val="0"/>
          <w:color w:val="000000"/>
          <w:shd w:val="clear" w:color="auto" w:fill="FFFFFF"/>
          <w:lang w:val="ru-RU"/>
        </w:rPr>
      </w:pPr>
      <w:r w:rsidRPr="00716DA6">
        <w:rPr>
          <w:rStyle w:val="a8"/>
          <w:b w:val="0"/>
          <w:i w:val="0"/>
          <w:color w:val="000000"/>
          <w:shd w:val="clear" w:color="auto" w:fill="FFFFFF"/>
          <w:lang w:val="ru-RU"/>
        </w:rPr>
        <w:t xml:space="preserve">Калмыцкий государственный университет по имени Б.Б. </w:t>
      </w:r>
      <w:proofErr w:type="spellStart"/>
      <w:r w:rsidRPr="00716DA6">
        <w:rPr>
          <w:rStyle w:val="a8"/>
          <w:b w:val="0"/>
          <w:i w:val="0"/>
          <w:color w:val="000000"/>
          <w:shd w:val="clear" w:color="auto" w:fill="FFFFFF"/>
          <w:lang w:val="ru-RU"/>
        </w:rPr>
        <w:t>Городовикова</w:t>
      </w:r>
      <w:proofErr w:type="spellEnd"/>
    </w:p>
    <w:p w:rsidR="00716DA6" w:rsidRPr="00716DA6" w:rsidRDefault="00716DA6" w:rsidP="00716DA6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Style w:val="a8"/>
          <w:b w:val="0"/>
          <w:i w:val="0"/>
          <w:color w:val="000000"/>
          <w:shd w:val="clear" w:color="auto" w:fill="FFFFFF"/>
        </w:rPr>
      </w:pPr>
      <w:r w:rsidRPr="00716DA6">
        <w:rPr>
          <w:rStyle w:val="a8"/>
          <w:b w:val="0"/>
          <w:i w:val="0"/>
          <w:color w:val="000000"/>
          <w:shd w:val="clear" w:color="auto" w:fill="FFFFFF"/>
        </w:rPr>
        <w:t>(</w:t>
      </w:r>
      <w:proofErr w:type="spellStart"/>
      <w:r w:rsidRPr="00716DA6">
        <w:rPr>
          <w:rStyle w:val="a8"/>
          <w:b w:val="0"/>
          <w:i w:val="0"/>
          <w:color w:val="000000"/>
          <w:shd w:val="clear" w:color="auto" w:fill="FFFFFF"/>
        </w:rPr>
        <w:t>Россия</w:t>
      </w:r>
      <w:proofErr w:type="spellEnd"/>
      <w:r w:rsidRPr="00716DA6">
        <w:rPr>
          <w:rStyle w:val="a8"/>
          <w:b w:val="0"/>
          <w:i w:val="0"/>
          <w:color w:val="000000"/>
          <w:shd w:val="clear" w:color="auto" w:fill="FFFFFF"/>
        </w:rPr>
        <w:t xml:space="preserve">, г. </w:t>
      </w:r>
      <w:proofErr w:type="spellStart"/>
      <w:r w:rsidRPr="00716DA6">
        <w:rPr>
          <w:rStyle w:val="a8"/>
          <w:b w:val="0"/>
          <w:i w:val="0"/>
          <w:color w:val="000000"/>
          <w:shd w:val="clear" w:color="auto" w:fill="FFFFFF"/>
        </w:rPr>
        <w:t>Элиста</w:t>
      </w:r>
      <w:proofErr w:type="spellEnd"/>
      <w:r w:rsidRPr="00716DA6">
        <w:rPr>
          <w:rStyle w:val="a8"/>
          <w:b w:val="0"/>
          <w:i w:val="0"/>
          <w:color w:val="000000"/>
          <w:shd w:val="clear" w:color="auto" w:fill="FFFFFF"/>
        </w:rPr>
        <w:t>)</w:t>
      </w:r>
    </w:p>
    <w:p w:rsidR="00716DA6" w:rsidRDefault="00716DA6" w:rsidP="00716DA6">
      <w:pPr>
        <w:tabs>
          <w:tab w:val="left" w:pos="2118"/>
        </w:tabs>
        <w:rPr>
          <w:i w:val="0"/>
          <w:sz w:val="22"/>
          <w:szCs w:val="22"/>
          <w:lang w:val="ru-RU"/>
        </w:rPr>
      </w:pPr>
    </w:p>
    <w:p w:rsidR="00716DA6" w:rsidRPr="00716DA6" w:rsidRDefault="00716DA6" w:rsidP="00716DA6">
      <w:pPr>
        <w:shd w:val="clear" w:color="auto" w:fill="FFFFFF"/>
        <w:spacing w:after="0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color w:val="484848"/>
          <w:sz w:val="22"/>
          <w:szCs w:val="22"/>
          <w:lang w:val="ru-RU" w:eastAsia="ru-RU" w:bidi="ar-SA"/>
        </w:rPr>
        <w:t xml:space="preserve">Работа выполнена при финансовой поддержке </w:t>
      </w:r>
      <w:proofErr w:type="spellStart"/>
      <w:r w:rsidRPr="00716DA6">
        <w:rPr>
          <w:rFonts w:eastAsia="Times New Roman"/>
          <w:color w:val="484848"/>
          <w:sz w:val="22"/>
          <w:szCs w:val="22"/>
          <w:lang w:val="ru-RU" w:eastAsia="ru-RU" w:bidi="ar-SA"/>
        </w:rPr>
        <w:t>Минобрнауки</w:t>
      </w:r>
      <w:proofErr w:type="spellEnd"/>
      <w:r w:rsidRPr="00716DA6">
        <w:rPr>
          <w:rFonts w:eastAsia="Times New Roman"/>
          <w:color w:val="484848"/>
          <w:sz w:val="22"/>
          <w:szCs w:val="22"/>
          <w:lang w:val="ru-RU" w:eastAsia="ru-RU" w:bidi="ar-SA"/>
        </w:rPr>
        <w:t xml:space="preserve"> (</w:t>
      </w:r>
      <w:proofErr w:type="spellStart"/>
      <w:r w:rsidRPr="00716DA6">
        <w:rPr>
          <w:rFonts w:eastAsia="Times New Roman"/>
          <w:color w:val="484848"/>
          <w:sz w:val="22"/>
          <w:szCs w:val="22"/>
          <w:lang w:val="ru-RU" w:eastAsia="ru-RU" w:bidi="ar-SA"/>
        </w:rPr>
        <w:t>госконтракт</w:t>
      </w:r>
      <w:proofErr w:type="spellEnd"/>
      <w:r w:rsidRPr="00716DA6">
        <w:rPr>
          <w:rFonts w:eastAsia="Times New Roman"/>
          <w:color w:val="484848"/>
          <w:sz w:val="22"/>
          <w:szCs w:val="22"/>
          <w:lang w:val="ru-RU" w:eastAsia="ru-RU" w:bidi="ar-SA"/>
        </w:rPr>
        <w:t xml:space="preserve"> № 14.740.11.0803).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Одним из перспективных методов выделения и концентрирования при определении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микроколичеств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элементов является их сорбционное извлечение из растворов полимерными комплексообразующими сорбентами (ПКС). Способам иммобилизации аналитических реагентов на поверхности различных сорбентов и их аналитическому использованию посвящено ряд обзоров [3, 5]. Поэтому получение ПКС на основе синтетических материалов органического и неорганического происхождения и разработка на их основе методов концентрирования и выделение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микроколичеств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элементов является одной из важных проблем аналитической химии.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Разработаны способы группового сорбционного концентрирования и </w:t>
      </w:r>
      <w:proofErr w:type="spellStart"/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тест-методы</w:t>
      </w:r>
      <w:proofErr w:type="spellEnd"/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определения ионов металлов в объектах окружающей среды [1, 6].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Существенный прогресс в аналитической химии органических реагентов стал возможен благодаря появлению нового поколения приборов, измеряющих поглощение и отражение твердых материалов с иммобилизованными реагентами и их комплексов с ионами металлов.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Целью данной работы является разработка способа группового концентрирования и определения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микроколичеств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меди (II), свинца (II), цинка (II), марганца (II), хрома (III) в различных объектах с использованием модифицированных полимерных сорбентов.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В качестве матриц для иммобилизации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цинкона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(ЦН) 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фенилфлуорона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(ФФ) использовали высокоосновный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амберлит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JRA-400 (АМБ) и силикагель марки КСК № 2,5, обработанный хлоридом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цетилпиридиния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до насыщения (СГ-ЦП).</w:t>
      </w:r>
    </w:p>
    <w:p w:rsidR="00716DA6" w:rsidRPr="00716DA6" w:rsidRDefault="00716DA6" w:rsidP="00716DA6">
      <w:pPr>
        <w:shd w:val="clear" w:color="auto" w:fill="FFFFFF"/>
        <w:spacing w:after="0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Растворы реагентов-модификаторов и ионов Cu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vertAlign w:val="superscript"/>
          <w:lang w:val="ru-RU" w:eastAsia="ru-RU" w:bidi="ar-SA"/>
        </w:rPr>
        <w:t>2+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, Zn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vertAlign w:val="superscript"/>
          <w:lang w:val="ru-RU" w:eastAsia="ru-RU" w:bidi="ar-SA"/>
        </w:rPr>
        <w:t>2+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, Pb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vertAlign w:val="superscript"/>
          <w:lang w:val="ru-RU" w:eastAsia="ru-RU" w:bidi="ar-SA"/>
        </w:rPr>
        <w:t>2+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, Mn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vertAlign w:val="superscript"/>
          <w:lang w:val="ru-RU" w:eastAsia="ru-RU" w:bidi="ar-SA"/>
        </w:rPr>
        <w:t>2+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и Cr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vertAlign w:val="superscript"/>
          <w:lang w:val="ru-RU" w:eastAsia="ru-RU" w:bidi="ar-SA"/>
        </w:rPr>
        <w:t>3+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(1 мг/мл) готовили растворением точных навесок реагентов и спектрально чистых металлов в кислотах [4]. Серии рабочих растворов готовили разбавлением исходных растворов дистиллированной водой. Для создания соответствующей кислотности в исследуемых системах применяли 0,1 М растворы 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Н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CI,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NaOH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. Кислотность исследуемых растворов контролировали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иономером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«Эксперт 001». Растворы перемешивали на устройстве «LS220». Спектры снимали на спектрофотометр СФ-56 с приставкой диффузного отражения ПДО-6.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В работе [4] приводится способ группового концентрирования и атомно-абсорбционного определения меди, кадмия и свинца в различных объектах с использованием модифицированного сорбента АМБ-ЦН. Нами изучена возможность группового концентрирования и определения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Cu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Zn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Pb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 фазой АМБ-ЦН, а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Cr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(III) 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Mn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 – СГ-ЦП-ФФ методом спектроскопии диффузного отражения (СДО). Изучена сорбция ионов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Cu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Zn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 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Pb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 модифицированным анионитом АМБ-ЦН. Как видно из рисунка 1, комплексы указанных элементов имеют максимумы поглощения при значениях длин волн 650; 630; 570 нм соответственно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Cu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Zn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 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Pb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амберлит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с иммобилизованным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цинконом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при l=520 нм.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lastRenderedPageBreak/>
        <w:t xml:space="preserve">Процесс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комплексообразования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ионов металлов на твердой фазе АМБ-ЦН сопровождается изменением окраски сорбента из красного 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в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зеленый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, синий и фиолетовый соответственно ионам меди, цинка и свинца.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>
        <w:rPr>
          <w:rFonts w:ascii="Roboto" w:eastAsia="Times New Roman" w:hAnsi="Roboto"/>
          <w:i w:val="0"/>
          <w:iCs w:val="0"/>
          <w:noProof/>
          <w:color w:val="484848"/>
          <w:sz w:val="17"/>
          <w:szCs w:val="17"/>
          <w:lang w:val="ru-RU" w:eastAsia="ru-RU" w:bidi="ar-SA"/>
        </w:rPr>
        <w:drawing>
          <wp:inline distT="0" distB="0" distL="0" distR="0">
            <wp:extent cx="5540375" cy="3788410"/>
            <wp:effectExtent l="19050" t="0" r="3175" b="0"/>
            <wp:docPr id="1" name="Рисунок 1" descr="https://sibac.info/sites/default/files/images/statyi/2012_02_06_Estest_nauki/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sites/default/files/images/statyi/2012_02_06_Estest_nauki/w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A6" w:rsidRPr="00716DA6" w:rsidRDefault="00716DA6" w:rsidP="00716DA6">
      <w:pPr>
        <w:shd w:val="clear" w:color="auto" w:fill="FFFFFF"/>
        <w:spacing w:after="0" w:line="240" w:lineRule="auto"/>
        <w:jc w:val="both"/>
        <w:rPr>
          <w:rFonts w:eastAsia="Times New Roman"/>
          <w:i w:val="0"/>
          <w:iCs w:val="0"/>
          <w:color w:val="484848"/>
          <w:lang w:val="ru-RU" w:eastAsia="ru-RU" w:bidi="ar-SA"/>
        </w:rPr>
      </w:pPr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Рис. 1. Зависимость функции </w:t>
      </w:r>
      <w:proofErr w:type="spellStart"/>
      <w:r w:rsidRPr="00716DA6">
        <w:rPr>
          <w:rFonts w:eastAsia="Times New Roman"/>
          <w:b/>
          <w:bCs/>
          <w:color w:val="484848"/>
          <w:lang w:val="ru-RU" w:eastAsia="ru-RU" w:bidi="ar-SA"/>
        </w:rPr>
        <w:t>Гуревича-Кубелки-Мунка</w:t>
      </w:r>
      <w:proofErr w:type="spellEnd"/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 от длины волны. m</w:t>
      </w:r>
      <w:r w:rsidRPr="00716DA6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c</w:t>
      </w:r>
      <w:r w:rsidRPr="00716DA6">
        <w:rPr>
          <w:rFonts w:eastAsia="Times New Roman"/>
          <w:b/>
          <w:bCs/>
          <w:color w:val="484848"/>
          <w:lang w:val="ru-RU" w:eastAsia="ru-RU" w:bidi="ar-SA"/>
        </w:rPr>
        <w:t>=0,5 г; l=0,2 мм; С</w:t>
      </w:r>
      <w:r w:rsidRPr="00716DA6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ЦН</w:t>
      </w:r>
      <w:r w:rsidRPr="00716DA6">
        <w:rPr>
          <w:rFonts w:eastAsia="Times New Roman"/>
          <w:b/>
          <w:bCs/>
          <w:color w:val="484848"/>
          <w:lang w:val="ru-RU" w:eastAsia="ru-RU" w:bidi="ar-SA"/>
        </w:rPr>
        <w:t>=1</w:t>
      </w:r>
      <w:r w:rsidRPr="00716DA6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.</w:t>
      </w:r>
      <w:r w:rsidRPr="00716DA6">
        <w:rPr>
          <w:rFonts w:eastAsia="Times New Roman"/>
          <w:b/>
          <w:bCs/>
          <w:color w:val="484848"/>
          <w:lang w:val="ru-RU" w:eastAsia="ru-RU" w:bidi="ar-SA"/>
        </w:rPr>
        <w:t>10</w:t>
      </w:r>
      <w:r w:rsidRPr="00716DA6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-3 </w:t>
      </w:r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М. 1а – АМБ-ЦН, </w:t>
      </w:r>
      <w:proofErr w:type="spellStart"/>
      <w:r w:rsidRPr="00716DA6">
        <w:rPr>
          <w:rFonts w:eastAsia="Times New Roman"/>
          <w:b/>
          <w:bCs/>
          <w:color w:val="484848"/>
          <w:lang w:val="ru-RU" w:eastAsia="ru-RU" w:bidi="ar-SA"/>
        </w:rPr>
        <w:t>рН</w:t>
      </w:r>
      <w:proofErr w:type="spellEnd"/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 2—6; 1б – </w:t>
      </w:r>
      <w:proofErr w:type="spellStart"/>
      <w:r w:rsidRPr="00716DA6">
        <w:rPr>
          <w:rFonts w:eastAsia="Times New Roman"/>
          <w:b/>
          <w:bCs/>
          <w:color w:val="484848"/>
          <w:lang w:val="ru-RU" w:eastAsia="ru-RU" w:bidi="ar-SA"/>
        </w:rPr>
        <w:t>рН</w:t>
      </w:r>
      <w:proofErr w:type="spellEnd"/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 8—10; 2 – </w:t>
      </w:r>
      <w:proofErr w:type="spellStart"/>
      <w:r w:rsidRPr="00716DA6">
        <w:rPr>
          <w:rFonts w:eastAsia="Times New Roman"/>
          <w:b/>
          <w:bCs/>
          <w:color w:val="484848"/>
          <w:lang w:val="ru-RU" w:eastAsia="ru-RU" w:bidi="ar-SA"/>
        </w:rPr>
        <w:t>АМБ-ЦН-</w:t>
      </w:r>
      <w:proofErr w:type="gramStart"/>
      <w:r w:rsidRPr="00716DA6">
        <w:rPr>
          <w:rFonts w:eastAsia="Times New Roman"/>
          <w:b/>
          <w:bCs/>
          <w:color w:val="484848"/>
          <w:lang w:val="ru-RU" w:eastAsia="ru-RU" w:bidi="ar-SA"/>
        </w:rPr>
        <w:t>Cu</w:t>
      </w:r>
      <w:proofErr w:type="spellEnd"/>
      <w:proofErr w:type="gramEnd"/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, </w:t>
      </w:r>
      <w:proofErr w:type="spellStart"/>
      <w:r w:rsidRPr="00716DA6">
        <w:rPr>
          <w:rFonts w:eastAsia="Times New Roman"/>
          <w:b/>
          <w:bCs/>
          <w:color w:val="484848"/>
          <w:lang w:val="ru-RU" w:eastAsia="ru-RU" w:bidi="ar-SA"/>
        </w:rPr>
        <w:t>рН</w:t>
      </w:r>
      <w:proofErr w:type="spellEnd"/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 3,5; 3 – </w:t>
      </w:r>
      <w:proofErr w:type="spellStart"/>
      <w:r w:rsidRPr="00716DA6">
        <w:rPr>
          <w:rFonts w:eastAsia="Times New Roman"/>
          <w:b/>
          <w:bCs/>
          <w:color w:val="484848"/>
          <w:lang w:val="ru-RU" w:eastAsia="ru-RU" w:bidi="ar-SA"/>
        </w:rPr>
        <w:t>АМБ-ЦН-Zn</w:t>
      </w:r>
      <w:proofErr w:type="spellEnd"/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, </w:t>
      </w:r>
      <w:proofErr w:type="spellStart"/>
      <w:r w:rsidRPr="00716DA6">
        <w:rPr>
          <w:rFonts w:eastAsia="Times New Roman"/>
          <w:b/>
          <w:bCs/>
          <w:color w:val="484848"/>
          <w:lang w:val="ru-RU" w:eastAsia="ru-RU" w:bidi="ar-SA"/>
        </w:rPr>
        <w:t>рН</w:t>
      </w:r>
      <w:proofErr w:type="spellEnd"/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 8,5; 4 – </w:t>
      </w:r>
      <w:proofErr w:type="spellStart"/>
      <w:r w:rsidRPr="00716DA6">
        <w:rPr>
          <w:rFonts w:eastAsia="Times New Roman"/>
          <w:b/>
          <w:bCs/>
          <w:color w:val="484848"/>
          <w:lang w:val="ru-RU" w:eastAsia="ru-RU" w:bidi="ar-SA"/>
        </w:rPr>
        <w:t>АМБ-ЦН-Pb</w:t>
      </w:r>
      <w:proofErr w:type="spellEnd"/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, </w:t>
      </w:r>
      <w:proofErr w:type="spellStart"/>
      <w:r w:rsidRPr="00716DA6">
        <w:rPr>
          <w:rFonts w:eastAsia="Times New Roman"/>
          <w:b/>
          <w:bCs/>
          <w:color w:val="484848"/>
          <w:lang w:val="ru-RU" w:eastAsia="ru-RU" w:bidi="ar-SA"/>
        </w:rPr>
        <w:t>рН</w:t>
      </w:r>
      <w:proofErr w:type="spellEnd"/>
      <w:r w:rsidRPr="00716DA6">
        <w:rPr>
          <w:rFonts w:eastAsia="Times New Roman"/>
          <w:b/>
          <w:bCs/>
          <w:color w:val="484848"/>
          <w:lang w:val="ru-RU" w:eastAsia="ru-RU" w:bidi="ar-SA"/>
        </w:rPr>
        <w:t xml:space="preserve"> 6,0.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Устойчивость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сорбированного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реагента в фазе сорбента изучали как функцию кислотности и концентрации реагента. После насыщения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ссорентов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органическими реагентами твердые фазы промывали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бидистиллятом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и оставляли на неделю в водном растворе. Результаты показали на отсутствие десорбции реагента.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Влияние времени контакта фаз на сорбцию, процент сорбции, оптимальная кислотность, статическая емкость, как модифицированных сорбентов, так и их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сорбатов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с ионами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Cu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Zn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Pb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Mn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 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Cr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(III) приведены в табл. 1.</w:t>
      </w:r>
    </w:p>
    <w:p w:rsidR="00716DA6" w:rsidRPr="00CB2028" w:rsidRDefault="00716DA6" w:rsidP="00CB2028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t> </w:t>
      </w:r>
      <w:r w:rsidRPr="00716DA6">
        <w:rPr>
          <w:rFonts w:eastAsia="Times New Roman"/>
          <w:b/>
          <w:bCs/>
          <w:color w:val="484848"/>
          <w:lang w:val="ru-RU" w:eastAsia="ru-RU" w:bidi="ar-SA"/>
        </w:rPr>
        <w:t>Таблица 1.</w:t>
      </w:r>
      <w:r w:rsidR="00CB2028">
        <w:rPr>
          <w:rFonts w:eastAsia="Times New Roman"/>
          <w:i w:val="0"/>
          <w:iCs w:val="0"/>
          <w:color w:val="484848"/>
          <w:lang w:val="ru-RU" w:eastAsia="ru-RU" w:bidi="ar-SA"/>
        </w:rPr>
        <w:t xml:space="preserve"> </w:t>
      </w:r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 xml:space="preserve">Химико-аналитические свойства сорбентов и </w:t>
      </w:r>
      <w:proofErr w:type="spellStart"/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сорбатов</w:t>
      </w:r>
      <w:proofErr w:type="spellEnd"/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 m</w:t>
      </w:r>
      <w:r w:rsidRPr="00716DA6">
        <w:rPr>
          <w:rFonts w:eastAsia="Times New Roman"/>
          <w:b/>
          <w:bCs/>
          <w:i w:val="0"/>
          <w:iCs w:val="0"/>
          <w:color w:val="484848"/>
          <w:vertAlign w:val="subscript"/>
          <w:lang w:val="ru-RU" w:eastAsia="ru-RU" w:bidi="ar-SA"/>
        </w:rPr>
        <w:t>c</w:t>
      </w:r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=0,5 г; l=0,2 мм; С</w:t>
      </w:r>
      <w:r w:rsidRPr="00716DA6">
        <w:rPr>
          <w:rFonts w:eastAsia="Times New Roman"/>
          <w:b/>
          <w:bCs/>
          <w:i w:val="0"/>
          <w:iCs w:val="0"/>
          <w:color w:val="484848"/>
          <w:vertAlign w:val="subscript"/>
          <w:lang w:val="ru-RU" w:eastAsia="ru-RU" w:bidi="ar-SA"/>
        </w:rPr>
        <w:t>ЦН</w:t>
      </w:r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=1</w:t>
      </w:r>
      <w:r w:rsidRPr="00716DA6">
        <w:rPr>
          <w:rFonts w:eastAsia="Times New Roman"/>
          <w:b/>
          <w:bCs/>
          <w:i w:val="0"/>
          <w:iCs w:val="0"/>
          <w:color w:val="484848"/>
          <w:vertAlign w:val="superscript"/>
          <w:lang w:val="ru-RU" w:eastAsia="ru-RU" w:bidi="ar-SA"/>
        </w:rPr>
        <w:t>.</w:t>
      </w:r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10</w:t>
      </w:r>
      <w:r w:rsidRPr="00716DA6">
        <w:rPr>
          <w:rFonts w:eastAsia="Times New Roman"/>
          <w:b/>
          <w:bCs/>
          <w:i w:val="0"/>
          <w:iCs w:val="0"/>
          <w:color w:val="484848"/>
          <w:vertAlign w:val="superscript"/>
          <w:lang w:val="ru-RU" w:eastAsia="ru-RU" w:bidi="ar-SA"/>
        </w:rPr>
        <w:t>-3</w:t>
      </w:r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 М; С</w:t>
      </w:r>
      <w:r w:rsidRPr="00716DA6">
        <w:rPr>
          <w:rFonts w:eastAsia="Times New Roman"/>
          <w:b/>
          <w:bCs/>
          <w:i w:val="0"/>
          <w:iCs w:val="0"/>
          <w:color w:val="484848"/>
          <w:vertAlign w:val="subscript"/>
          <w:lang w:val="ru-RU" w:eastAsia="ru-RU" w:bidi="ar-SA"/>
        </w:rPr>
        <w:t>ФФ</w:t>
      </w:r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=9</w:t>
      </w:r>
      <w:r w:rsidRPr="00716DA6">
        <w:rPr>
          <w:rFonts w:eastAsia="Times New Roman"/>
          <w:b/>
          <w:bCs/>
          <w:i w:val="0"/>
          <w:iCs w:val="0"/>
          <w:color w:val="484848"/>
          <w:vertAlign w:val="superscript"/>
          <w:lang w:val="ru-RU" w:eastAsia="ru-RU" w:bidi="ar-SA"/>
        </w:rPr>
        <w:t>.</w:t>
      </w:r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10</w:t>
      </w:r>
      <w:r w:rsidRPr="00716DA6">
        <w:rPr>
          <w:rFonts w:eastAsia="Times New Roman"/>
          <w:b/>
          <w:bCs/>
          <w:i w:val="0"/>
          <w:iCs w:val="0"/>
          <w:color w:val="484848"/>
          <w:vertAlign w:val="superscript"/>
          <w:lang w:val="ru-RU" w:eastAsia="ru-RU" w:bidi="ar-SA"/>
        </w:rPr>
        <w:t>-4М; </w:t>
      </w:r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ω</w:t>
      </w:r>
      <w:r w:rsidRPr="00716DA6">
        <w:rPr>
          <w:rFonts w:eastAsia="Times New Roman"/>
          <w:b/>
          <w:bCs/>
          <w:i w:val="0"/>
          <w:iCs w:val="0"/>
          <w:color w:val="484848"/>
          <w:vertAlign w:val="subscript"/>
          <w:lang w:val="ru-RU" w:eastAsia="ru-RU" w:bidi="ar-SA"/>
        </w:rPr>
        <w:t>ЦП</w:t>
      </w:r>
      <w:r w:rsidRPr="00716DA6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=0,1 %. I– раствор, II– твердая фаза</w:t>
      </w:r>
    </w:p>
    <w:p w:rsidR="00CB2028" w:rsidRPr="00716DA6" w:rsidRDefault="00CB2028" w:rsidP="00716DA6">
      <w:pPr>
        <w:shd w:val="clear" w:color="auto" w:fill="FFFFFF"/>
        <w:spacing w:after="0" w:line="240" w:lineRule="auto"/>
        <w:jc w:val="both"/>
        <w:rPr>
          <w:rFonts w:eastAsia="Times New Roman"/>
          <w:i w:val="0"/>
          <w:iCs w:val="0"/>
          <w:color w:val="484848"/>
          <w:lang w:val="ru-RU" w:eastAsia="ru-RU" w:bidi="ar-SA"/>
        </w:rPr>
      </w:pPr>
    </w:p>
    <w:tbl>
      <w:tblPr>
        <w:tblW w:w="82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1977"/>
        <w:gridCol w:w="743"/>
        <w:gridCol w:w="855"/>
        <w:gridCol w:w="1009"/>
        <w:gridCol w:w="1009"/>
        <w:gridCol w:w="1122"/>
        <w:gridCol w:w="940"/>
      </w:tblGrid>
      <w:tr w:rsidR="00716DA6" w:rsidRPr="00716DA6" w:rsidTr="00716DA6">
        <w:trPr>
          <w:trHeight w:val="266"/>
          <w:jc w:val="center"/>
        </w:trPr>
        <w:tc>
          <w:tcPr>
            <w:tcW w:w="484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206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№</w:t>
            </w:r>
          </w:p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proofErr w:type="gram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п</w:t>
            </w:r>
            <w:proofErr w:type="spellEnd"/>
            <w:proofErr w:type="gramEnd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/</w:t>
            </w: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Система</w:t>
            </w:r>
          </w:p>
        </w:tc>
        <w:tc>
          <w:tcPr>
            <w:tcW w:w="13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l</w:t>
            </w: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vertAlign w:val="subscript"/>
                <w:lang w:val="ru-RU" w:eastAsia="ru-RU" w:bidi="ar-SA"/>
              </w:rPr>
              <w:t>max</w:t>
            </w:r>
            <w:proofErr w:type="spellEnd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, нм</w:t>
            </w:r>
          </w:p>
        </w:tc>
        <w:tc>
          <w:tcPr>
            <w:tcW w:w="871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R, %</w:t>
            </w:r>
          </w:p>
        </w:tc>
        <w:tc>
          <w:tcPr>
            <w:tcW w:w="871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t</w:t>
            </w:r>
            <w:proofErr w:type="spellEnd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, мин</w:t>
            </w:r>
          </w:p>
        </w:tc>
        <w:tc>
          <w:tcPr>
            <w:tcW w:w="968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рН</w:t>
            </w: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vertAlign w:val="subscript"/>
                <w:lang w:val="ru-RU" w:eastAsia="ru-RU" w:bidi="ar-SA"/>
              </w:rPr>
              <w:t>опт</w:t>
            </w:r>
            <w:proofErr w:type="spellEnd"/>
          </w:p>
        </w:tc>
        <w:tc>
          <w:tcPr>
            <w:tcW w:w="811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0" w:line="194" w:lineRule="atLeast"/>
              <w:jc w:val="both"/>
              <w:outlineLvl w:val="4"/>
              <w:rPr>
                <w:rFonts w:eastAsia="Times New Roman"/>
                <w:b/>
                <w:bCs/>
                <w:i w:val="0"/>
                <w:iCs w:val="0"/>
                <w:lang w:val="ru-RU" w:eastAsia="ru-RU" w:bidi="ar-SA"/>
              </w:rPr>
            </w:pPr>
            <w:r w:rsidRPr="00716DA6">
              <w:rPr>
                <w:rFonts w:eastAsia="Times New Roman"/>
                <w:b/>
                <w:bCs/>
                <w:i w:val="0"/>
                <w:iCs w:val="0"/>
                <w:lang w:val="ru-RU" w:eastAsia="ru-RU" w:bidi="ar-SA"/>
              </w:rPr>
              <w:t>СЕС, мг/г</w:t>
            </w:r>
          </w:p>
        </w:tc>
      </w:tr>
      <w:tr w:rsidR="00716DA6" w:rsidRPr="00716DA6" w:rsidTr="00716DA6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I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b/>
                <w:bCs/>
                <w:i w:val="0"/>
                <w:iCs w:val="0"/>
                <w:lang w:val="ru-RU" w:eastAsia="ru-RU" w:bidi="ar-SA"/>
              </w:rPr>
            </w:pPr>
          </w:p>
        </w:tc>
      </w:tr>
      <w:tr w:rsidR="00716DA6" w:rsidRPr="00716DA6" w:rsidTr="00716DA6">
        <w:trPr>
          <w:jc w:val="center"/>
        </w:trPr>
        <w:tc>
          <w:tcPr>
            <w:tcW w:w="4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АМБ-ЦН</w:t>
            </w: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540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520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100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30</w:t>
            </w:r>
          </w:p>
        </w:tc>
        <w:tc>
          <w:tcPr>
            <w:tcW w:w="9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4—10</w:t>
            </w:r>
          </w:p>
        </w:tc>
        <w:tc>
          <w:tcPr>
            <w:tcW w:w="8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440</w:t>
            </w:r>
          </w:p>
        </w:tc>
      </w:tr>
      <w:tr w:rsidR="00716DA6" w:rsidRPr="00716DA6" w:rsidTr="00716DA6">
        <w:trPr>
          <w:jc w:val="center"/>
        </w:trPr>
        <w:tc>
          <w:tcPr>
            <w:tcW w:w="4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2</w:t>
            </w:r>
          </w:p>
        </w:tc>
        <w:tc>
          <w:tcPr>
            <w:tcW w:w="17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АМБ-ЦН-</w:t>
            </w:r>
            <w:proofErr w:type="gram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Cu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630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650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100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10</w:t>
            </w:r>
          </w:p>
        </w:tc>
        <w:tc>
          <w:tcPr>
            <w:tcW w:w="9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3—9</w:t>
            </w:r>
          </w:p>
        </w:tc>
        <w:tc>
          <w:tcPr>
            <w:tcW w:w="8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31</w:t>
            </w:r>
          </w:p>
        </w:tc>
      </w:tr>
      <w:tr w:rsidR="00716DA6" w:rsidRPr="00716DA6" w:rsidTr="00716DA6">
        <w:trPr>
          <w:jc w:val="center"/>
        </w:trPr>
        <w:tc>
          <w:tcPr>
            <w:tcW w:w="4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3</w:t>
            </w:r>
          </w:p>
        </w:tc>
        <w:tc>
          <w:tcPr>
            <w:tcW w:w="17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АМБ-ЦН-</w:t>
            </w:r>
            <w:proofErr w:type="gram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Zn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610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630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98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60</w:t>
            </w:r>
          </w:p>
        </w:tc>
        <w:tc>
          <w:tcPr>
            <w:tcW w:w="9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8—10</w:t>
            </w:r>
          </w:p>
        </w:tc>
        <w:tc>
          <w:tcPr>
            <w:tcW w:w="8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4,4</w:t>
            </w:r>
          </w:p>
        </w:tc>
      </w:tr>
      <w:tr w:rsidR="00716DA6" w:rsidRPr="00716DA6" w:rsidTr="00716DA6">
        <w:trPr>
          <w:jc w:val="center"/>
        </w:trPr>
        <w:tc>
          <w:tcPr>
            <w:tcW w:w="4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</w:t>
            </w:r>
          </w:p>
        </w:tc>
        <w:tc>
          <w:tcPr>
            <w:tcW w:w="17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АМБ-ЦН-</w:t>
            </w:r>
            <w:proofErr w:type="gram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Pb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570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590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85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40</w:t>
            </w:r>
          </w:p>
        </w:tc>
        <w:tc>
          <w:tcPr>
            <w:tcW w:w="9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4—8</w:t>
            </w:r>
          </w:p>
        </w:tc>
        <w:tc>
          <w:tcPr>
            <w:tcW w:w="8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1,8</w:t>
            </w:r>
          </w:p>
        </w:tc>
      </w:tr>
      <w:tr w:rsidR="00716DA6" w:rsidRPr="00716DA6" w:rsidTr="00716DA6">
        <w:trPr>
          <w:jc w:val="center"/>
        </w:trPr>
        <w:tc>
          <w:tcPr>
            <w:tcW w:w="4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</w:t>
            </w:r>
          </w:p>
        </w:tc>
        <w:tc>
          <w:tcPr>
            <w:tcW w:w="17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СГ-ЦП-ФФ</w:t>
            </w: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540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530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99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40</w:t>
            </w:r>
          </w:p>
        </w:tc>
        <w:tc>
          <w:tcPr>
            <w:tcW w:w="9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4—6</w:t>
            </w:r>
          </w:p>
        </w:tc>
        <w:tc>
          <w:tcPr>
            <w:tcW w:w="8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4,6</w:t>
            </w:r>
          </w:p>
        </w:tc>
      </w:tr>
      <w:tr w:rsidR="00716DA6" w:rsidRPr="00716DA6" w:rsidTr="00716DA6">
        <w:trPr>
          <w:jc w:val="center"/>
        </w:trPr>
        <w:tc>
          <w:tcPr>
            <w:tcW w:w="4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6</w:t>
            </w:r>
          </w:p>
        </w:tc>
        <w:tc>
          <w:tcPr>
            <w:tcW w:w="17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СГ-ЦП-ФФ-</w:t>
            </w:r>
            <w:proofErr w:type="gram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Mn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560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590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98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30</w:t>
            </w:r>
          </w:p>
        </w:tc>
        <w:tc>
          <w:tcPr>
            <w:tcW w:w="9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5—8</w:t>
            </w:r>
          </w:p>
        </w:tc>
        <w:tc>
          <w:tcPr>
            <w:tcW w:w="8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7,8</w:t>
            </w:r>
          </w:p>
        </w:tc>
      </w:tr>
      <w:tr w:rsidR="00716DA6" w:rsidRPr="00716DA6" w:rsidTr="00716DA6">
        <w:trPr>
          <w:trHeight w:val="182"/>
          <w:jc w:val="center"/>
        </w:trPr>
        <w:tc>
          <w:tcPr>
            <w:tcW w:w="4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7</w:t>
            </w:r>
          </w:p>
        </w:tc>
        <w:tc>
          <w:tcPr>
            <w:tcW w:w="17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СГ-ЦП-ФФ-</w:t>
            </w:r>
            <w:proofErr w:type="gram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Cr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540</w:t>
            </w: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560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100</w:t>
            </w:r>
          </w:p>
        </w:tc>
        <w:tc>
          <w:tcPr>
            <w:tcW w:w="8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40</w:t>
            </w:r>
          </w:p>
        </w:tc>
        <w:tc>
          <w:tcPr>
            <w:tcW w:w="9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2,5—6,5</w:t>
            </w:r>
          </w:p>
        </w:tc>
        <w:tc>
          <w:tcPr>
            <w:tcW w:w="8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6,4</w:t>
            </w:r>
          </w:p>
        </w:tc>
      </w:tr>
    </w:tbl>
    <w:p w:rsidR="00716DA6" w:rsidRPr="00716DA6" w:rsidRDefault="00716DA6" w:rsidP="00716DA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lastRenderedPageBreak/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Концентрирование микроэлементов проводили при оптимальных условиях сорбции. Количественное определение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Cu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Zn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Pb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Mn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(II) и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Cr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(III) проводили по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градуировочным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графикам для соответствующих элементов (рис. 2, 3).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>
        <w:rPr>
          <w:rFonts w:ascii="Roboto" w:eastAsia="Times New Roman" w:hAnsi="Roboto"/>
          <w:i w:val="0"/>
          <w:iCs w:val="0"/>
          <w:noProof/>
          <w:color w:val="484848"/>
          <w:sz w:val="17"/>
          <w:szCs w:val="17"/>
          <w:lang w:val="ru-RU" w:eastAsia="ru-RU" w:bidi="ar-SA"/>
        </w:rPr>
        <w:drawing>
          <wp:inline distT="0" distB="0" distL="0" distR="0">
            <wp:extent cx="5455920" cy="3573145"/>
            <wp:effectExtent l="19050" t="0" r="0" b="0"/>
            <wp:docPr id="2" name="Рисунок 2" descr="https://sibac.info/sites/default/files/images/statyi/2012_02_06_Estest_nauki/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ac.info/sites/default/files/images/statyi/2012_02_06_Estest_nauki/w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5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A6" w:rsidRPr="00716DA6" w:rsidRDefault="00716DA6" w:rsidP="00716DA6">
      <w:pPr>
        <w:shd w:val="clear" w:color="auto" w:fill="FFFFFF"/>
        <w:spacing w:after="0" w:line="240" w:lineRule="auto"/>
        <w:jc w:val="both"/>
        <w:rPr>
          <w:rFonts w:eastAsia="Times New Roman"/>
          <w:i w:val="0"/>
          <w:iCs w:val="0"/>
          <w:color w:val="484848"/>
          <w:lang w:val="ru-RU" w:eastAsia="ru-RU" w:bidi="ar-SA"/>
        </w:rPr>
      </w:pPr>
      <w:r w:rsidRPr="00CB2028">
        <w:rPr>
          <w:rFonts w:eastAsia="Times New Roman"/>
          <w:b/>
          <w:bCs/>
          <w:color w:val="484848"/>
          <w:lang w:val="ru-RU" w:eastAsia="ru-RU" w:bidi="ar-SA"/>
        </w:rPr>
        <w:t>Рис.2.Градуировочные графики для определения: 1) </w:t>
      </w:r>
      <w:proofErr w:type="spellStart"/>
      <w:r w:rsidRPr="00CB2028">
        <w:rPr>
          <w:rFonts w:eastAsia="Times New Roman"/>
          <w:b/>
          <w:bCs/>
          <w:color w:val="484848"/>
          <w:lang w:val="ru-RU" w:eastAsia="ru-RU" w:bidi="ar-SA"/>
        </w:rPr>
        <w:t>Zn</w:t>
      </w:r>
      <w:proofErr w:type="spellEnd"/>
      <w:r w:rsidRPr="00CB2028">
        <w:rPr>
          <w:rFonts w:eastAsia="Times New Roman"/>
          <w:b/>
          <w:bCs/>
          <w:color w:val="484848"/>
          <w:lang w:val="ru-RU" w:eastAsia="ru-RU" w:bidi="ar-SA"/>
        </w:rPr>
        <w:t>(630 нм); 2) </w:t>
      </w:r>
      <w:proofErr w:type="spellStart"/>
      <w:r w:rsidRPr="00CB2028">
        <w:rPr>
          <w:rFonts w:eastAsia="Times New Roman"/>
          <w:b/>
          <w:bCs/>
          <w:color w:val="484848"/>
          <w:lang w:val="ru-RU" w:eastAsia="ru-RU" w:bidi="ar-SA"/>
        </w:rPr>
        <w:t>Cu</w:t>
      </w:r>
      <w:proofErr w:type="spellEnd"/>
      <w:r w:rsidRPr="00CB2028">
        <w:rPr>
          <w:rFonts w:eastAsia="Times New Roman"/>
          <w:b/>
          <w:bCs/>
          <w:color w:val="484848"/>
          <w:lang w:val="ru-RU" w:eastAsia="ru-RU" w:bidi="ar-SA"/>
        </w:rPr>
        <w:t>(650 нм); 3) </w:t>
      </w:r>
      <w:proofErr w:type="spellStart"/>
      <w:r w:rsidRPr="00CB2028">
        <w:rPr>
          <w:rFonts w:eastAsia="Times New Roman"/>
          <w:b/>
          <w:bCs/>
          <w:color w:val="484848"/>
          <w:lang w:val="ru-RU" w:eastAsia="ru-RU" w:bidi="ar-SA"/>
        </w:rPr>
        <w:t>Pb</w:t>
      </w:r>
      <w:proofErr w:type="spellEnd"/>
      <w:r w:rsidRPr="00CB2028">
        <w:rPr>
          <w:rFonts w:eastAsia="Times New Roman"/>
          <w:b/>
          <w:bCs/>
          <w:color w:val="484848"/>
          <w:lang w:val="ru-RU" w:eastAsia="ru-RU" w:bidi="ar-SA"/>
        </w:rPr>
        <w:t>(590 нм) методом СДО. С</w:t>
      </w:r>
      <w:r w:rsidRPr="00CB2028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С</w:t>
      </w:r>
      <w:proofErr w:type="gramStart"/>
      <w:r w:rsidRPr="00CB2028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u</w:t>
      </w:r>
      <w:proofErr w:type="gramEnd"/>
      <w:r w:rsidRPr="00CB2028">
        <w:rPr>
          <w:rFonts w:eastAsia="Times New Roman"/>
          <w:b/>
          <w:bCs/>
          <w:color w:val="484848"/>
          <w:lang w:val="ru-RU" w:eastAsia="ru-RU" w:bidi="ar-SA"/>
        </w:rPr>
        <w:t>=1,56 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. 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10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-3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 М; С</w:t>
      </w:r>
      <w:r w:rsidRPr="00CB2028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Zn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=1,54 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. 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10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-3М; С</w:t>
      </w:r>
      <w:r w:rsidRPr="00CB2028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Pb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=4,8 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. 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10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-4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 М; m</w:t>
      </w:r>
      <w:r w:rsidRPr="00CB2028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АМБ-ЦН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=0,05 г; l=2 мм.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Определено содержание тяжелых металлов в сточных водах и растительном объекте (боярышник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пятипестичный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) методом СДО с использованием модифицированных сорбентов АМБ-ЦН и СГ-ЦП-ФФ [7, 8].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Пробоподготовку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сточных вод проводили по методике, представленной в работе [4].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>
        <w:rPr>
          <w:rFonts w:ascii="Roboto" w:eastAsia="Times New Roman" w:hAnsi="Roboto"/>
          <w:i w:val="0"/>
          <w:iCs w:val="0"/>
          <w:noProof/>
          <w:color w:val="484848"/>
          <w:sz w:val="17"/>
          <w:szCs w:val="17"/>
          <w:lang w:val="ru-RU" w:eastAsia="ru-RU" w:bidi="ar-SA"/>
        </w:rPr>
        <w:lastRenderedPageBreak/>
        <w:drawing>
          <wp:inline distT="0" distB="0" distL="0" distR="0">
            <wp:extent cx="5355590" cy="3496310"/>
            <wp:effectExtent l="19050" t="0" r="0" b="0"/>
            <wp:docPr id="3" name="Рисунок 3" descr="https://sibac.info/sites/default/files/images/statyi/2012_02_06_Estest_nauki/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c.info/sites/default/files/images/statyi/2012_02_06_Estest_nauki/w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49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A6" w:rsidRPr="00716DA6" w:rsidRDefault="00716DA6" w:rsidP="00716DA6">
      <w:pPr>
        <w:shd w:val="clear" w:color="auto" w:fill="FFFFFF"/>
        <w:spacing w:after="0" w:line="240" w:lineRule="auto"/>
        <w:jc w:val="both"/>
        <w:rPr>
          <w:rFonts w:eastAsia="Times New Roman"/>
          <w:i w:val="0"/>
          <w:iCs w:val="0"/>
          <w:color w:val="484848"/>
          <w:lang w:val="ru-RU" w:eastAsia="ru-RU" w:bidi="ar-SA"/>
        </w:rPr>
      </w:pPr>
      <w:r w:rsidRPr="00CB2028">
        <w:rPr>
          <w:rFonts w:eastAsia="Times New Roman"/>
          <w:b/>
          <w:bCs/>
          <w:color w:val="484848"/>
          <w:lang w:val="ru-RU" w:eastAsia="ru-RU" w:bidi="ar-SA"/>
        </w:rPr>
        <w:t>Рис.3.Градуировочные графики для определения: 1) </w:t>
      </w:r>
      <w:proofErr w:type="spellStart"/>
      <w:r w:rsidRPr="00CB2028">
        <w:rPr>
          <w:rFonts w:eastAsia="Times New Roman"/>
          <w:b/>
          <w:bCs/>
          <w:color w:val="484848"/>
          <w:lang w:val="ru-RU" w:eastAsia="ru-RU" w:bidi="ar-SA"/>
        </w:rPr>
        <w:t>Mn</w:t>
      </w:r>
      <w:proofErr w:type="spellEnd"/>
      <w:r w:rsidRPr="00CB2028">
        <w:rPr>
          <w:rFonts w:eastAsia="Times New Roman"/>
          <w:b/>
          <w:bCs/>
          <w:color w:val="484848"/>
          <w:lang w:val="ru-RU" w:eastAsia="ru-RU" w:bidi="ar-SA"/>
        </w:rPr>
        <w:t>(II) (590 нм); 2) </w:t>
      </w:r>
      <w:proofErr w:type="spellStart"/>
      <w:r w:rsidRPr="00CB2028">
        <w:rPr>
          <w:rFonts w:eastAsia="Times New Roman"/>
          <w:b/>
          <w:bCs/>
          <w:color w:val="484848"/>
          <w:lang w:val="ru-RU" w:eastAsia="ru-RU" w:bidi="ar-SA"/>
        </w:rPr>
        <w:t>Cr</w:t>
      </w:r>
      <w:proofErr w:type="spellEnd"/>
      <w:r w:rsidRPr="00CB2028">
        <w:rPr>
          <w:rFonts w:eastAsia="Times New Roman"/>
          <w:b/>
          <w:bCs/>
          <w:color w:val="484848"/>
          <w:lang w:val="ru-RU" w:eastAsia="ru-RU" w:bidi="ar-SA"/>
        </w:rPr>
        <w:t xml:space="preserve">(III) (560 нм). </w:t>
      </w:r>
      <w:proofErr w:type="gramStart"/>
      <w:r w:rsidRPr="00CB2028">
        <w:rPr>
          <w:rFonts w:eastAsia="Times New Roman"/>
          <w:b/>
          <w:bCs/>
          <w:color w:val="484848"/>
          <w:lang w:val="ru-RU" w:eastAsia="ru-RU" w:bidi="ar-SA"/>
        </w:rPr>
        <w:t>С</w:t>
      </w:r>
      <w:proofErr w:type="gramEnd"/>
      <w:r w:rsidRPr="00CB2028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Mn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=1,82 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. 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10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-3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 М; С</w:t>
      </w:r>
      <w:r w:rsidRPr="00CB2028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Cr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=1,92 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. 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10</w:t>
      </w:r>
      <w:r w:rsidRPr="00CB2028">
        <w:rPr>
          <w:rFonts w:eastAsia="Times New Roman"/>
          <w:b/>
          <w:bCs/>
          <w:color w:val="484848"/>
          <w:vertAlign w:val="superscript"/>
          <w:lang w:val="ru-RU" w:eastAsia="ru-RU" w:bidi="ar-SA"/>
        </w:rPr>
        <w:t>-3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 М; m</w:t>
      </w:r>
      <w:r w:rsidRPr="00CB2028">
        <w:rPr>
          <w:rFonts w:eastAsia="Times New Roman"/>
          <w:b/>
          <w:bCs/>
          <w:color w:val="484848"/>
          <w:vertAlign w:val="subscript"/>
          <w:lang w:val="ru-RU" w:eastAsia="ru-RU" w:bidi="ar-SA"/>
        </w:rPr>
        <w:t>СГ-ЦП-ФФ</w:t>
      </w:r>
      <w:r w:rsidRPr="00CB2028">
        <w:rPr>
          <w:rFonts w:eastAsia="Times New Roman"/>
          <w:b/>
          <w:bCs/>
          <w:color w:val="484848"/>
          <w:lang w:val="ru-RU" w:eastAsia="ru-RU" w:bidi="ar-SA"/>
        </w:rPr>
        <w:t>=0,05 г; l=2 мм.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При определении минерального состава растительные объекты чаще всего требуют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озоления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и растворения золы. По литературным и экспериментальным данным авторов наиболее эффективна и менее вредна сухая минерализация [2].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Полученные данные представлены в табл. 2.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0" w:line="240" w:lineRule="auto"/>
        <w:jc w:val="both"/>
        <w:rPr>
          <w:rFonts w:eastAsia="Times New Roman"/>
          <w:i w:val="0"/>
          <w:iCs w:val="0"/>
          <w:color w:val="484848"/>
          <w:lang w:val="ru-RU" w:eastAsia="ru-RU" w:bidi="ar-SA"/>
        </w:rPr>
      </w:pPr>
      <w:r w:rsidRPr="00CB2028">
        <w:rPr>
          <w:rFonts w:eastAsia="Times New Roman"/>
          <w:b/>
          <w:bCs/>
          <w:color w:val="484848"/>
          <w:lang w:val="ru-RU" w:eastAsia="ru-RU" w:bidi="ar-SA"/>
        </w:rPr>
        <w:t>Таблица 2.</w:t>
      </w:r>
    </w:p>
    <w:p w:rsidR="00716DA6" w:rsidRPr="00716DA6" w:rsidRDefault="00716DA6" w:rsidP="00716DA6">
      <w:pPr>
        <w:shd w:val="clear" w:color="auto" w:fill="FFFFFF"/>
        <w:spacing w:after="0" w:line="240" w:lineRule="auto"/>
        <w:jc w:val="both"/>
        <w:rPr>
          <w:rFonts w:eastAsia="Times New Roman"/>
          <w:i w:val="0"/>
          <w:iCs w:val="0"/>
          <w:color w:val="484848"/>
          <w:lang w:val="ru-RU" w:eastAsia="ru-RU" w:bidi="ar-SA"/>
        </w:rPr>
      </w:pPr>
      <w:r w:rsidRPr="00CB2028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 xml:space="preserve">Результаты определения тяжелых металлов в плодах боярышника </w:t>
      </w:r>
      <w:proofErr w:type="spellStart"/>
      <w:r w:rsidRPr="00CB2028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>пятипестичного</w:t>
      </w:r>
      <w:proofErr w:type="spellEnd"/>
      <w:r w:rsidRPr="00CB2028">
        <w:rPr>
          <w:rFonts w:eastAsia="Times New Roman"/>
          <w:b/>
          <w:bCs/>
          <w:i w:val="0"/>
          <w:iCs w:val="0"/>
          <w:color w:val="484848"/>
          <w:lang w:val="ru-RU" w:eastAsia="ru-RU" w:bidi="ar-SA"/>
        </w:rPr>
        <w:t xml:space="preserve"> и сточных водах</w:t>
      </w:r>
    </w:p>
    <w:tbl>
      <w:tblPr>
        <w:tblW w:w="82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"/>
        <w:gridCol w:w="1094"/>
        <w:gridCol w:w="649"/>
        <w:gridCol w:w="662"/>
        <w:gridCol w:w="649"/>
        <w:gridCol w:w="662"/>
        <w:gridCol w:w="1364"/>
        <w:gridCol w:w="1364"/>
        <w:gridCol w:w="702"/>
      </w:tblGrid>
      <w:tr w:rsidR="00716DA6" w:rsidRPr="00716DA6" w:rsidTr="00716DA6">
        <w:trPr>
          <w:trHeight w:val="242"/>
          <w:jc w:val="center"/>
        </w:trPr>
        <w:tc>
          <w:tcPr>
            <w:tcW w:w="93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ind w:left="113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Сорбент</w:t>
            </w:r>
          </w:p>
        </w:tc>
        <w:tc>
          <w:tcPr>
            <w:tcW w:w="82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ind w:left="113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Элемент</w:t>
            </w:r>
          </w:p>
        </w:tc>
        <w:tc>
          <w:tcPr>
            <w:tcW w:w="239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 xml:space="preserve">Плоды боярышника </w:t>
            </w: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пятипестичного</w:t>
            </w:r>
            <w:proofErr w:type="spellEnd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, (мкг/г)</w:t>
            </w:r>
          </w:p>
        </w:tc>
        <w:tc>
          <w:tcPr>
            <w:tcW w:w="312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Сточная вода, (мг/л)</w:t>
            </w:r>
          </w:p>
        </w:tc>
      </w:tr>
      <w:tr w:rsidR="00716DA6" w:rsidRPr="00716DA6" w:rsidTr="00716DA6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AA</w:t>
            </w:r>
            <w:proofErr w:type="gram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СДО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СДО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СДО</w:t>
            </w: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ПДК</w:t>
            </w:r>
          </w:p>
        </w:tc>
      </w:tr>
      <w:tr w:rsidR="00716DA6" w:rsidRPr="00716DA6" w:rsidTr="00716DA6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1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2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1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2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3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4</w:t>
            </w: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</w:t>
            </w:r>
          </w:p>
        </w:tc>
      </w:tr>
      <w:tr w:rsidR="00716DA6" w:rsidRPr="00716DA6" w:rsidTr="00716DA6">
        <w:trPr>
          <w:jc w:val="center"/>
        </w:trPr>
        <w:tc>
          <w:tcPr>
            <w:tcW w:w="93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206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АМБ-ЦН</w:t>
            </w:r>
          </w:p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 </w:t>
            </w:r>
          </w:p>
        </w:tc>
        <w:tc>
          <w:tcPr>
            <w:tcW w:w="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Zn</w:t>
            </w:r>
            <w:proofErr w:type="spellEnd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 xml:space="preserve"> (II)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8,50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7,51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8,20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7,14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0,43±0,02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0,75±0,02</w:t>
            </w: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0,60</w:t>
            </w:r>
          </w:p>
        </w:tc>
      </w:tr>
      <w:tr w:rsidR="00716DA6" w:rsidRPr="00716DA6" w:rsidTr="00716DA6">
        <w:trPr>
          <w:jc w:val="center"/>
        </w:trPr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Cu</w:t>
            </w:r>
            <w:proofErr w:type="spellEnd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 xml:space="preserve"> (II)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6,54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5,50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6,85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5,80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0,32±0,02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0,69±0,02</w:t>
            </w: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1,00</w:t>
            </w:r>
          </w:p>
        </w:tc>
      </w:tr>
      <w:tr w:rsidR="00716DA6" w:rsidRPr="00716DA6" w:rsidTr="00716DA6">
        <w:trPr>
          <w:jc w:val="center"/>
        </w:trPr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Pb</w:t>
            </w:r>
            <w:proofErr w:type="spellEnd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 xml:space="preserve"> (II)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-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-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2,84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0,04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0,22±0,02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0,36±0,03</w:t>
            </w: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0,03</w:t>
            </w:r>
          </w:p>
        </w:tc>
      </w:tr>
      <w:tr w:rsidR="00716DA6" w:rsidRPr="00716DA6" w:rsidTr="00716DA6">
        <w:trPr>
          <w:jc w:val="center"/>
        </w:trPr>
        <w:tc>
          <w:tcPr>
            <w:tcW w:w="93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СГ-ЦП-ФФ</w:t>
            </w:r>
          </w:p>
        </w:tc>
        <w:tc>
          <w:tcPr>
            <w:tcW w:w="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Mn</w:t>
            </w:r>
            <w:proofErr w:type="spellEnd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 xml:space="preserve"> (II)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3,30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8,20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3,65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8,31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0,16±0,03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0,28±0,03</w:t>
            </w: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94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0,10</w:t>
            </w:r>
          </w:p>
        </w:tc>
      </w:tr>
      <w:tr w:rsidR="00716DA6" w:rsidRPr="00716DA6" w:rsidTr="00716DA6">
        <w:trPr>
          <w:trHeight w:val="121"/>
          <w:jc w:val="center"/>
        </w:trPr>
        <w:tc>
          <w:tcPr>
            <w:tcW w:w="0" w:type="auto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16DA6" w:rsidRPr="00716DA6" w:rsidRDefault="00716DA6" w:rsidP="00716DA6">
            <w:pPr>
              <w:spacing w:after="0" w:line="240" w:lineRule="auto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21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proofErr w:type="spellStart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Cr</w:t>
            </w:r>
            <w:proofErr w:type="spellEnd"/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 xml:space="preserve"> (III)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21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-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21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-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21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0,02</w:t>
            </w:r>
          </w:p>
        </w:tc>
        <w:tc>
          <w:tcPr>
            <w:tcW w:w="5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21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0,03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21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0,35±0,02</w:t>
            </w: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21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0,62±0,02</w:t>
            </w:r>
          </w:p>
        </w:tc>
        <w:tc>
          <w:tcPr>
            <w:tcW w:w="6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1" w:type="dxa"/>
              <w:left w:w="133" w:type="dxa"/>
              <w:bottom w:w="61" w:type="dxa"/>
              <w:right w:w="133" w:type="dxa"/>
            </w:tcMar>
            <w:hideMark/>
          </w:tcPr>
          <w:p w:rsidR="00716DA6" w:rsidRPr="00716DA6" w:rsidRDefault="00716DA6" w:rsidP="00716DA6">
            <w:pPr>
              <w:spacing w:after="100" w:afterAutospacing="1" w:line="121" w:lineRule="atLeast"/>
              <w:jc w:val="both"/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</w:pPr>
            <w:r w:rsidRPr="00716DA6">
              <w:rPr>
                <w:rFonts w:eastAsia="Times New Roman"/>
                <w:i w:val="0"/>
                <w:iCs w:val="0"/>
                <w:sz w:val="17"/>
                <w:szCs w:val="17"/>
                <w:lang w:val="ru-RU" w:eastAsia="ru-RU" w:bidi="ar-SA"/>
              </w:rPr>
              <w:t>0,20</w:t>
            </w:r>
          </w:p>
        </w:tc>
      </w:tr>
    </w:tbl>
    <w:p w:rsidR="00716DA6" w:rsidRPr="00716DA6" w:rsidRDefault="00716DA6" w:rsidP="00716DA6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</w:pPr>
      <w:r w:rsidRPr="00716DA6">
        <w:rPr>
          <w:rFonts w:ascii="Roboto" w:eastAsia="Times New Roman" w:hAnsi="Roboto"/>
          <w:i w:val="0"/>
          <w:iCs w:val="0"/>
          <w:color w:val="484848"/>
          <w:sz w:val="17"/>
          <w:szCs w:val="17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1- 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Боярышник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собранный с окрестностей г. Махачкала; 2- с горных районов РД; 3- вода канала «Октябрьской революции» до очистки; 4- стоки завода «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Авиаагрегат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»; 5- ПДК - для вод культурно-бытового водопользования.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Как видно из данных таблицы, атомно-абсорбционное (AA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С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) определение микроэлементного состава плодов боярышника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пятипестичного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не позволяет обнаружить следовые количества ионов свинца и хрома. Использование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методаСДО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выявляет малые содержания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этихэлементов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lastRenderedPageBreak/>
        <w:t>Изменение содержания элементов в зависимости от места обитания подчиняется следующим закономерностям: медь и цинк – горы&lt;низменность; марганец и хром – низменность&lt;горы.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Содержание хрома и марганца почти в три раза превышает предельно допустимые концентрации; для свинца и кадмия в десятки и 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более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раз наблюдается превышение ПДК, а для цинка небольшое превышение в стоках завода «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Авиаагрегат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».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jc w:val="both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Превышение ПДК для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Cr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Mn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и</w:t>
      </w:r>
      <w:proofErr w:type="spellEnd"/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Pbнаблюдается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и в водах канала им. «Октябрьской революции».</w:t>
      </w:r>
    </w:p>
    <w:p w:rsidR="00716DA6" w:rsidRPr="00716DA6" w:rsidRDefault="00716DA6" w:rsidP="00716DA6">
      <w:pPr>
        <w:shd w:val="clear" w:color="auto" w:fill="FFFFFF"/>
        <w:spacing w:after="206" w:line="240" w:lineRule="auto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 </w:t>
      </w:r>
    </w:p>
    <w:p w:rsidR="00716DA6" w:rsidRPr="00716DA6" w:rsidRDefault="00716DA6" w:rsidP="00716DA6">
      <w:pPr>
        <w:shd w:val="clear" w:color="auto" w:fill="FFFFFF"/>
        <w:spacing w:after="0" w:line="240" w:lineRule="auto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CB2028">
        <w:rPr>
          <w:rFonts w:eastAsia="Times New Roman"/>
          <w:b/>
          <w:bCs/>
          <w:i w:val="0"/>
          <w:iCs w:val="0"/>
          <w:color w:val="484848"/>
          <w:sz w:val="22"/>
          <w:szCs w:val="22"/>
          <w:lang w:val="ru-RU" w:eastAsia="ru-RU" w:bidi="ar-SA"/>
        </w:rPr>
        <w:t>Список литературы:</w:t>
      </w:r>
    </w:p>
    <w:p w:rsidR="00716DA6" w:rsidRPr="00716DA6" w:rsidRDefault="00716DA6" w:rsidP="00716DA6">
      <w:pPr>
        <w:numPr>
          <w:ilvl w:val="0"/>
          <w:numId w:val="1"/>
        </w:numPr>
        <w:shd w:val="clear" w:color="auto" w:fill="FFFFFF"/>
        <w:spacing w:after="97" w:line="240" w:lineRule="auto"/>
        <w:ind w:left="0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Басарагин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 Н. Н., Дорофеев Д. Н., Салихов В. Д., Розовский Ю. Г. Предварительное концентрирование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микроколичеств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Pbи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</w:t>
      </w:r>
      <w:proofErr w:type="spellStart"/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Mn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на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полимерных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хелатных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сорбентах и их атомно-абсорбционное определение в природных и сточных водах // Заводская лаборатория. Диагностика материалов. 2001. т. 67. № 10. С. 6—8.</w:t>
      </w:r>
    </w:p>
    <w:p w:rsidR="00716DA6" w:rsidRPr="00716DA6" w:rsidRDefault="00716DA6" w:rsidP="00716DA6">
      <w:pPr>
        <w:numPr>
          <w:ilvl w:val="0"/>
          <w:numId w:val="1"/>
        </w:numPr>
        <w:shd w:val="clear" w:color="auto" w:fill="FFFFFF"/>
        <w:spacing w:after="97" w:line="240" w:lineRule="auto"/>
        <w:ind w:left="0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Гончарова, Т. А. Энциклопедия лекарственных растений: (лечение травами). М.: Издательский Дом МСП, 1997. – 560 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с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.</w:t>
      </w:r>
    </w:p>
    <w:p w:rsidR="00716DA6" w:rsidRPr="00716DA6" w:rsidRDefault="00716DA6" w:rsidP="00716DA6">
      <w:pPr>
        <w:numPr>
          <w:ilvl w:val="0"/>
          <w:numId w:val="1"/>
        </w:numPr>
        <w:shd w:val="clear" w:color="auto" w:fill="FFFFFF"/>
        <w:spacing w:after="97" w:line="240" w:lineRule="auto"/>
        <w:ind w:left="0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Золотов Ю. А.,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Цизин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 Г. И.,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Моросанова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 Е. И., Дмитриенко С. Г. Сорбционное концентрирование микрокомпонентов для целей химического анализа // Успехи химии. 2005.Т. 74 № 1. С. 41.</w:t>
      </w:r>
    </w:p>
    <w:p w:rsidR="00716DA6" w:rsidRPr="00716DA6" w:rsidRDefault="00716DA6" w:rsidP="00716DA6">
      <w:pPr>
        <w:numPr>
          <w:ilvl w:val="0"/>
          <w:numId w:val="1"/>
        </w:numPr>
        <w:shd w:val="clear" w:color="auto" w:fill="FFFFFF"/>
        <w:spacing w:after="97" w:line="240" w:lineRule="auto"/>
        <w:ind w:left="0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Коростелев П. П. Реактивы и растворы в металлургическом анализе. М.: Металлургия, 1977. – 400 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с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.</w:t>
      </w:r>
    </w:p>
    <w:p w:rsidR="00716DA6" w:rsidRPr="00716DA6" w:rsidRDefault="00716DA6" w:rsidP="00716DA6">
      <w:pPr>
        <w:numPr>
          <w:ilvl w:val="0"/>
          <w:numId w:val="1"/>
        </w:numPr>
        <w:shd w:val="clear" w:color="auto" w:fill="FFFFFF"/>
        <w:spacing w:after="97" w:line="240" w:lineRule="auto"/>
        <w:ind w:left="0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Савин С. Б., Дедкова В. П.,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Швоева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 О. П. Сорбционно-спектроскопические и </w:t>
      </w:r>
      <w:proofErr w:type="spellStart"/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тест-методы</w:t>
      </w:r>
      <w:proofErr w:type="spellEnd"/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определения ионов металлов на твердой фазе ионообменных материалов/ Успехи химии. 2000. Т. 69. № 3. С. 204—217</w:t>
      </w:r>
    </w:p>
    <w:p w:rsidR="00716DA6" w:rsidRPr="00716DA6" w:rsidRDefault="00716DA6" w:rsidP="00716DA6">
      <w:pPr>
        <w:numPr>
          <w:ilvl w:val="0"/>
          <w:numId w:val="1"/>
        </w:numPr>
        <w:shd w:val="clear" w:color="auto" w:fill="FFFFFF"/>
        <w:spacing w:after="97" w:line="240" w:lineRule="auto"/>
        <w:ind w:left="0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Татаева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 С. Д.,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Бюрниева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 У. Г.,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Зейналов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 Р. З.,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Гамзаев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 Р. Г. Концентрирование и определение меди, свинца и кадмия с использованием модифицированных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азосоединениями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анионитов // Журнал аналитической химии, 2011, том 66, № 4, С. 373—377.</w:t>
      </w:r>
    </w:p>
    <w:p w:rsidR="00716DA6" w:rsidRPr="00716DA6" w:rsidRDefault="00716DA6" w:rsidP="00716DA6">
      <w:pPr>
        <w:numPr>
          <w:ilvl w:val="0"/>
          <w:numId w:val="1"/>
        </w:numPr>
        <w:shd w:val="clear" w:color="auto" w:fill="FFFFFF"/>
        <w:spacing w:after="97" w:line="240" w:lineRule="auto"/>
        <w:ind w:left="0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Татаева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 С. Д.,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Бюрниева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 У. Г., Гасанова З. Г. Пат. РФ 2361660 // БИ. № 20 2009.</w:t>
      </w:r>
    </w:p>
    <w:p w:rsidR="00716DA6" w:rsidRPr="00716DA6" w:rsidRDefault="00716DA6" w:rsidP="00716D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</w:pP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Татаева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 С. Д.,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Гамзаева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 У. Г. Пат. РФ 2292545//БИ. № 3. 2007.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br/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br/>
        <w:t>Пожалуйста, не забудьте правильно оформить цитату:</w:t>
      </w:r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br/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Татаева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С.Д., Магомедов К.Э.,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Багомедова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Д.Б. ГРУППОВОЕ КОНЦЕНТРИРОВАНИЕ И ОПРЕДЕЛЕНИЕ ТЯЖЕЛЫХ МЕТАЛЛОВ В РАЗЛИЧНЫХ ОБЪЕКТАХ // Научные достижения биологии, химии, физики: сб. ст. 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по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 матер. V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междунар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.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науч</w:t>
      </w:r>
      <w:proofErr w:type="gram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.-</w:t>
      </w:r>
      <w:proofErr w:type="gram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практ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.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конф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 xml:space="preserve">. – Новосибирск: </w:t>
      </w:r>
      <w:proofErr w:type="spellStart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СибАК</w:t>
      </w:r>
      <w:proofErr w:type="spellEnd"/>
      <w:r w:rsidRPr="00716DA6">
        <w:rPr>
          <w:rFonts w:eastAsia="Times New Roman"/>
          <w:i w:val="0"/>
          <w:iCs w:val="0"/>
          <w:color w:val="484848"/>
          <w:sz w:val="22"/>
          <w:szCs w:val="22"/>
          <w:lang w:val="ru-RU" w:eastAsia="ru-RU" w:bidi="ar-SA"/>
        </w:rPr>
        <w:t>, 2012.</w:t>
      </w:r>
    </w:p>
    <w:p w:rsidR="00716DA6" w:rsidRPr="00CB2028" w:rsidRDefault="00716DA6" w:rsidP="00716DA6">
      <w:pPr>
        <w:tabs>
          <w:tab w:val="left" w:pos="2118"/>
        </w:tabs>
        <w:rPr>
          <w:i w:val="0"/>
          <w:sz w:val="22"/>
          <w:szCs w:val="22"/>
          <w:lang w:val="ru-RU"/>
        </w:rPr>
      </w:pPr>
    </w:p>
    <w:sectPr w:rsidR="00716DA6" w:rsidRPr="00CB2028" w:rsidSect="005D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91B"/>
    <w:multiLevelType w:val="multilevel"/>
    <w:tmpl w:val="DADC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6DA6"/>
    <w:rsid w:val="00214A00"/>
    <w:rsid w:val="00317E4F"/>
    <w:rsid w:val="005D7DF1"/>
    <w:rsid w:val="00716DA6"/>
    <w:rsid w:val="00BB025B"/>
    <w:rsid w:val="00CA7BCD"/>
    <w:rsid w:val="00CB2028"/>
    <w:rsid w:val="00F2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4F"/>
    <w:rPr>
      <w:i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7E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17E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E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E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317E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E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E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E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E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E4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17E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17E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17E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317E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7E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17E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17E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17E4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7E4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7E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7E4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17E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7E4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17E4F"/>
    <w:rPr>
      <w:b/>
      <w:bCs/>
      <w:spacing w:val="0"/>
    </w:rPr>
  </w:style>
  <w:style w:type="character" w:styleId="a9">
    <w:name w:val="Emphasis"/>
    <w:uiPriority w:val="20"/>
    <w:qFormat/>
    <w:rsid w:val="00317E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17E4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7E4F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17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E4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17E4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17E4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17E4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17E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17E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17E4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17E4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17E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17E4F"/>
    <w:pPr>
      <w:outlineLvl w:val="9"/>
    </w:pPr>
  </w:style>
  <w:style w:type="paragraph" w:styleId="af5">
    <w:name w:val="Normal (Web)"/>
    <w:basedOn w:val="a"/>
    <w:uiPriority w:val="99"/>
    <w:unhideWhenUsed/>
    <w:rsid w:val="00716DA6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716DA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6DA6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ibac.info/arhive-article?section=2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ac.info/arhive-article?science=2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bac.info/conf/natur/v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BBX</dc:creator>
  <cp:lastModifiedBy>BBX</cp:lastModifiedBy>
  <cp:revision>1</cp:revision>
  <dcterms:created xsi:type="dcterms:W3CDTF">2021-01-27T21:26:00Z</dcterms:created>
  <dcterms:modified xsi:type="dcterms:W3CDTF">2021-01-27T21:42:00Z</dcterms:modified>
</cp:coreProperties>
</file>