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7E" w:rsidRPr="00265FC9" w:rsidRDefault="00FF147E" w:rsidP="00265FC9">
      <w:pPr>
        <w:jc w:val="center"/>
        <w:rPr>
          <w:b/>
          <w:i/>
          <w:sz w:val="32"/>
          <w:szCs w:val="32"/>
        </w:rPr>
      </w:pPr>
      <w:r w:rsidRPr="00D25C7A">
        <w:rPr>
          <w:b/>
          <w:i/>
          <w:sz w:val="32"/>
          <w:szCs w:val="32"/>
        </w:rPr>
        <w:t>Исследование влияния наглядных средств обучения на эффективность усвоения учебного м</w:t>
      </w:r>
      <w:r w:rsidR="00265FC9">
        <w:rPr>
          <w:b/>
          <w:i/>
          <w:sz w:val="32"/>
          <w:szCs w:val="32"/>
        </w:rPr>
        <w:t>атериала</w:t>
      </w:r>
      <w:r w:rsidRPr="00D25C7A">
        <w:rPr>
          <w:b/>
          <w:i/>
          <w:sz w:val="32"/>
          <w:szCs w:val="32"/>
        </w:rPr>
        <w:t>.</w:t>
      </w:r>
    </w:p>
    <w:p w:rsidR="00FF147E" w:rsidRPr="00D25C7A" w:rsidRDefault="00FF147E" w:rsidP="00DB635C">
      <w:pPr>
        <w:ind w:firstLine="708"/>
        <w:jc w:val="both"/>
        <w:rPr>
          <w:sz w:val="28"/>
          <w:szCs w:val="28"/>
        </w:rPr>
      </w:pPr>
      <w:r w:rsidRPr="00D25C7A">
        <w:rPr>
          <w:sz w:val="28"/>
          <w:szCs w:val="28"/>
        </w:rPr>
        <w:t xml:space="preserve">В настоящее время наиболее актуальна проблема разработки путей эффективного использования наглядных пособий для формирования знаний, умений и </w:t>
      </w:r>
      <w:proofErr w:type="gramStart"/>
      <w:r w:rsidRPr="00D25C7A">
        <w:rPr>
          <w:sz w:val="28"/>
          <w:szCs w:val="28"/>
        </w:rPr>
        <w:t>навыков</w:t>
      </w:r>
      <w:proofErr w:type="gramEnd"/>
      <w:r w:rsidRPr="00D25C7A">
        <w:rPr>
          <w:sz w:val="28"/>
          <w:szCs w:val="28"/>
        </w:rPr>
        <w:t xml:space="preserve"> учащихся по программному материалу. </w:t>
      </w:r>
    </w:p>
    <w:p w:rsidR="00FF147E" w:rsidRPr="00D25C7A" w:rsidRDefault="00FF147E" w:rsidP="00FF147E">
      <w:pPr>
        <w:jc w:val="both"/>
        <w:rPr>
          <w:sz w:val="28"/>
          <w:szCs w:val="28"/>
        </w:rPr>
      </w:pPr>
      <w:r w:rsidRPr="00D25C7A">
        <w:rPr>
          <w:sz w:val="28"/>
          <w:szCs w:val="28"/>
        </w:rPr>
        <w:tab/>
        <w:t>Была определена специфика примен</w:t>
      </w:r>
      <w:r w:rsidR="00265FC9">
        <w:rPr>
          <w:sz w:val="28"/>
          <w:szCs w:val="28"/>
        </w:rPr>
        <w:t>ения наглядности на уроках</w:t>
      </w:r>
      <w:r w:rsidRPr="00D25C7A">
        <w:rPr>
          <w:sz w:val="28"/>
          <w:szCs w:val="28"/>
        </w:rPr>
        <w:t>:</w:t>
      </w:r>
    </w:p>
    <w:p w:rsidR="00FF147E" w:rsidRPr="00D25C7A" w:rsidRDefault="00FF147E" w:rsidP="00FF147E">
      <w:pPr>
        <w:numPr>
          <w:ilvl w:val="0"/>
          <w:numId w:val="2"/>
        </w:numPr>
        <w:jc w:val="both"/>
        <w:rPr>
          <w:sz w:val="28"/>
          <w:szCs w:val="28"/>
        </w:rPr>
      </w:pPr>
      <w:r w:rsidRPr="00D25C7A">
        <w:rPr>
          <w:sz w:val="28"/>
          <w:szCs w:val="28"/>
        </w:rPr>
        <w:t>наглядные материалы должны соответствов</w:t>
      </w:r>
      <w:r w:rsidR="00265FC9">
        <w:rPr>
          <w:sz w:val="28"/>
          <w:szCs w:val="28"/>
        </w:rPr>
        <w:t>ать целям и содержанию обучения</w:t>
      </w:r>
      <w:r w:rsidRPr="00D25C7A">
        <w:rPr>
          <w:sz w:val="28"/>
          <w:szCs w:val="28"/>
        </w:rPr>
        <w:t>,</w:t>
      </w:r>
    </w:p>
    <w:p w:rsidR="00FF147E" w:rsidRPr="00D25C7A" w:rsidRDefault="00FF147E" w:rsidP="00FF147E">
      <w:pPr>
        <w:numPr>
          <w:ilvl w:val="0"/>
          <w:numId w:val="2"/>
        </w:numPr>
        <w:jc w:val="both"/>
        <w:rPr>
          <w:sz w:val="28"/>
          <w:szCs w:val="28"/>
        </w:rPr>
      </w:pPr>
      <w:r w:rsidRPr="00D25C7A">
        <w:rPr>
          <w:sz w:val="28"/>
          <w:szCs w:val="28"/>
        </w:rPr>
        <w:t>пособия должны быть доступными и составлены с учетом возрастных особенностей детей с нарушением интеллекта,</w:t>
      </w:r>
    </w:p>
    <w:p w:rsidR="00FF147E" w:rsidRPr="00D25C7A" w:rsidRDefault="00FF147E" w:rsidP="00FF147E">
      <w:pPr>
        <w:numPr>
          <w:ilvl w:val="0"/>
          <w:numId w:val="2"/>
        </w:numPr>
        <w:jc w:val="both"/>
        <w:rPr>
          <w:sz w:val="28"/>
          <w:szCs w:val="28"/>
        </w:rPr>
      </w:pPr>
      <w:r w:rsidRPr="00D25C7A">
        <w:rPr>
          <w:sz w:val="28"/>
          <w:szCs w:val="28"/>
        </w:rPr>
        <w:t>наглядные средства должны изготовляться четкими по структуре, с краткими, легко запоминающимися надписями, изображенными крупным шрифтом,</w:t>
      </w:r>
    </w:p>
    <w:p w:rsidR="00FF147E" w:rsidRPr="00D25C7A" w:rsidRDefault="00FF147E" w:rsidP="00FF147E">
      <w:pPr>
        <w:numPr>
          <w:ilvl w:val="0"/>
          <w:numId w:val="2"/>
        </w:numPr>
        <w:jc w:val="both"/>
        <w:rPr>
          <w:sz w:val="28"/>
          <w:szCs w:val="28"/>
        </w:rPr>
      </w:pPr>
      <w:r w:rsidRPr="00D25C7A">
        <w:rPr>
          <w:sz w:val="28"/>
          <w:szCs w:val="28"/>
        </w:rPr>
        <w:t>пособия должны быть выполнены с соблюдением эстетических и санитарно-гигиенических требований,</w:t>
      </w:r>
    </w:p>
    <w:p w:rsidR="00FF147E" w:rsidRPr="00D25C7A" w:rsidRDefault="00FF147E" w:rsidP="00FF147E">
      <w:pPr>
        <w:numPr>
          <w:ilvl w:val="0"/>
          <w:numId w:val="2"/>
        </w:numPr>
        <w:jc w:val="both"/>
        <w:rPr>
          <w:sz w:val="28"/>
          <w:szCs w:val="28"/>
        </w:rPr>
      </w:pPr>
      <w:r w:rsidRPr="00D25C7A">
        <w:rPr>
          <w:sz w:val="28"/>
          <w:szCs w:val="28"/>
        </w:rPr>
        <w:t>содержание пособий должно составлять минимальное количество объектов (1-3) и не содержать разнородной информации,</w:t>
      </w:r>
    </w:p>
    <w:p w:rsidR="00FF147E" w:rsidRPr="00D25C7A" w:rsidRDefault="00FF147E" w:rsidP="00FF147E">
      <w:pPr>
        <w:numPr>
          <w:ilvl w:val="0"/>
          <w:numId w:val="2"/>
        </w:numPr>
        <w:jc w:val="both"/>
        <w:rPr>
          <w:sz w:val="28"/>
          <w:szCs w:val="28"/>
        </w:rPr>
      </w:pPr>
      <w:r w:rsidRPr="00D25C7A">
        <w:rPr>
          <w:sz w:val="28"/>
          <w:szCs w:val="28"/>
        </w:rPr>
        <w:t>при работе с наглядностью необходимо организовывать детальны</w:t>
      </w:r>
      <w:r w:rsidR="00265FC9">
        <w:rPr>
          <w:sz w:val="28"/>
          <w:szCs w:val="28"/>
        </w:rPr>
        <w:t>й анализ каждой части пособия</w:t>
      </w:r>
      <w:r w:rsidRPr="00D25C7A">
        <w:rPr>
          <w:sz w:val="28"/>
          <w:szCs w:val="28"/>
        </w:rPr>
        <w:t>,</w:t>
      </w:r>
    </w:p>
    <w:p w:rsidR="00FF147E" w:rsidRPr="00D25C7A" w:rsidRDefault="00FF147E" w:rsidP="00FF147E">
      <w:pPr>
        <w:numPr>
          <w:ilvl w:val="0"/>
          <w:numId w:val="2"/>
        </w:numPr>
        <w:jc w:val="both"/>
        <w:rPr>
          <w:sz w:val="28"/>
          <w:szCs w:val="28"/>
        </w:rPr>
      </w:pPr>
      <w:r w:rsidRPr="00D25C7A">
        <w:rPr>
          <w:sz w:val="28"/>
          <w:szCs w:val="28"/>
        </w:rPr>
        <w:t>обязательна предварительная подготовка к восприятию учениками новых наглядных материалов через систему упражнений по формированию базовых знаний о предметах, свойствах и устройствах наглядных средств,</w:t>
      </w:r>
    </w:p>
    <w:p w:rsidR="00FF147E" w:rsidRPr="00D25C7A" w:rsidRDefault="00FF147E" w:rsidP="00FF147E">
      <w:pPr>
        <w:numPr>
          <w:ilvl w:val="0"/>
          <w:numId w:val="2"/>
        </w:numPr>
        <w:jc w:val="both"/>
        <w:rPr>
          <w:sz w:val="28"/>
          <w:szCs w:val="28"/>
        </w:rPr>
      </w:pPr>
      <w:r w:rsidRPr="00D25C7A">
        <w:rPr>
          <w:sz w:val="28"/>
          <w:szCs w:val="28"/>
        </w:rPr>
        <w:t>необходимо постепенное усложнение предъявляемых средств обучения,</w:t>
      </w:r>
    </w:p>
    <w:p w:rsidR="00FF147E" w:rsidRPr="00D25C7A" w:rsidRDefault="00FF147E" w:rsidP="00FF147E">
      <w:pPr>
        <w:numPr>
          <w:ilvl w:val="0"/>
          <w:numId w:val="2"/>
        </w:numPr>
        <w:jc w:val="both"/>
        <w:rPr>
          <w:sz w:val="28"/>
          <w:szCs w:val="28"/>
        </w:rPr>
      </w:pPr>
      <w:r w:rsidRPr="00D25C7A">
        <w:rPr>
          <w:sz w:val="28"/>
          <w:szCs w:val="28"/>
        </w:rPr>
        <w:t>использование наглядности с учетом индивидуальных особенностей школьников (подбор по цвету, величине, способу изготовления, количества выполняемых операций и т.д.),</w:t>
      </w:r>
    </w:p>
    <w:p w:rsidR="00FF147E" w:rsidRPr="00DB635C" w:rsidRDefault="00FF147E" w:rsidP="00FF147E">
      <w:pPr>
        <w:numPr>
          <w:ilvl w:val="0"/>
          <w:numId w:val="2"/>
        </w:numPr>
        <w:jc w:val="both"/>
        <w:rPr>
          <w:sz w:val="28"/>
          <w:szCs w:val="28"/>
        </w:rPr>
      </w:pPr>
      <w:r w:rsidRPr="00D25C7A">
        <w:rPr>
          <w:sz w:val="28"/>
          <w:szCs w:val="28"/>
        </w:rPr>
        <w:t>для успешного усвоения информации, содержащейся в пособиях, необходимо проводить целенаправленную работу по коррекции зрительного, слухового, тактильного восприятий, памяти, мышления, моторики, нарушений в пространственной и временной ориентации, а также активизации речи (путем пополнения словарного запаса детей, закрепления лексико-грамматических структур, орфографических правил, побуждения к монологу и диалогу), воспитанию любознательности, наблюдательности, аккуратности, умений работать в коллективе и т.д.</w:t>
      </w:r>
    </w:p>
    <w:p w:rsidR="00FF147E" w:rsidRPr="00D25C7A" w:rsidRDefault="00FF147E" w:rsidP="00DB635C">
      <w:pPr>
        <w:jc w:val="both"/>
        <w:rPr>
          <w:sz w:val="28"/>
          <w:szCs w:val="28"/>
        </w:rPr>
      </w:pPr>
      <w:r w:rsidRPr="00D25C7A">
        <w:rPr>
          <w:sz w:val="28"/>
          <w:szCs w:val="28"/>
        </w:rPr>
        <w:tab/>
        <w:t xml:space="preserve">Определив цели, содержание, структуру урока и методы его проведения, учитель приступает к подготовке материально-технической базы. Особое внимание учитель уделяет современной и качественной подготовке места, необходимых инструментов, приспособлений, материалов, заготовок, наглядных пособий, чертежей, документации и т.п. </w:t>
      </w:r>
    </w:p>
    <w:p w:rsidR="00FF147E" w:rsidRPr="00D25C7A" w:rsidRDefault="00FF147E" w:rsidP="00FF147E">
      <w:pPr>
        <w:jc w:val="both"/>
        <w:rPr>
          <w:sz w:val="28"/>
          <w:szCs w:val="28"/>
        </w:rPr>
      </w:pPr>
      <w:r w:rsidRPr="00D25C7A">
        <w:rPr>
          <w:sz w:val="28"/>
          <w:szCs w:val="28"/>
        </w:rPr>
        <w:tab/>
        <w:t>При подготовке рабочего места нужно иметь в виду следующее:</w:t>
      </w:r>
    </w:p>
    <w:p w:rsidR="00FF147E" w:rsidRPr="00D25C7A" w:rsidRDefault="00FF147E" w:rsidP="00FF147E">
      <w:pPr>
        <w:jc w:val="both"/>
        <w:rPr>
          <w:sz w:val="28"/>
          <w:szCs w:val="28"/>
        </w:rPr>
      </w:pPr>
      <w:r w:rsidRPr="00D25C7A">
        <w:rPr>
          <w:sz w:val="28"/>
          <w:szCs w:val="28"/>
        </w:rPr>
        <w:t>- наглядные пособия, чертежи, карты, учебно-техническая документация должны быть чистыми, аккуратными,</w:t>
      </w:r>
    </w:p>
    <w:p w:rsidR="00FF147E" w:rsidRPr="00DB635C" w:rsidRDefault="00FF147E" w:rsidP="00DB635C">
      <w:pPr>
        <w:jc w:val="both"/>
        <w:rPr>
          <w:sz w:val="28"/>
          <w:szCs w:val="28"/>
        </w:rPr>
      </w:pPr>
      <w:r w:rsidRPr="00D25C7A">
        <w:rPr>
          <w:sz w:val="28"/>
          <w:szCs w:val="28"/>
        </w:rPr>
        <w:t>- модели, приборы и наглядные пособия необходимо располагать в порядке их использования.</w:t>
      </w:r>
    </w:p>
    <w:p w:rsidR="00FF147E" w:rsidRPr="00D25C7A" w:rsidRDefault="00FF147E" w:rsidP="00FF147E">
      <w:pPr>
        <w:jc w:val="both"/>
        <w:outlineLvl w:val="0"/>
        <w:rPr>
          <w:sz w:val="28"/>
          <w:szCs w:val="28"/>
        </w:rPr>
      </w:pPr>
      <w:r w:rsidRPr="00D25C7A">
        <w:rPr>
          <w:sz w:val="28"/>
          <w:szCs w:val="28"/>
        </w:rPr>
        <w:tab/>
      </w:r>
      <w:r w:rsidR="00DB635C" w:rsidRPr="00D25C7A">
        <w:rPr>
          <w:sz w:val="28"/>
          <w:szCs w:val="28"/>
        </w:rPr>
        <w:t>Результат учебно</w:t>
      </w:r>
      <w:r w:rsidRPr="00D25C7A">
        <w:rPr>
          <w:sz w:val="28"/>
          <w:szCs w:val="28"/>
        </w:rPr>
        <w:t>-воспитательного процесса во многом зависит от того, насколько он обеспечен разнообразными средствами обучения. Трудно представить себе современного учителя, не использующего дополнительных методических пособий, кроме учебника. Довольно сложно оспорить тот факт, что наглядность в обучении занимает далеко не последнее место.</w:t>
      </w:r>
    </w:p>
    <w:p w:rsidR="00FF147E" w:rsidRPr="00D25C7A" w:rsidRDefault="00FF147E" w:rsidP="00FF147E">
      <w:pPr>
        <w:jc w:val="both"/>
        <w:outlineLvl w:val="0"/>
        <w:rPr>
          <w:sz w:val="28"/>
          <w:szCs w:val="28"/>
        </w:rPr>
      </w:pPr>
      <w:r w:rsidRPr="00D25C7A">
        <w:rPr>
          <w:sz w:val="28"/>
          <w:szCs w:val="28"/>
        </w:rPr>
        <w:lastRenderedPageBreak/>
        <w:tab/>
        <w:t>Однако дидактический принцип наглядности, являющийся ведущим в обучении, следует понимать несколько шире, нежели возможность зрительного восприятия. Воздействуя на органы чувств, средства наглядности обеспечивают более полное представление образа или понятия, что способствует более прочному усвоению материала. Наглядность способствует развитию у учащихся эмоционально-оценочного отношения к приобретаемым знаниям. Проводя самостоятельные задания, учащиеся могут убедиться в реальности тех процессов и явлений, о которых узнают от учителя. А это, в свою очередь, позволяет ребенку убедиться в истинности полученных сведений, что ведет к осознанности и прочности знаний.</w:t>
      </w:r>
    </w:p>
    <w:p w:rsidR="00FF147E" w:rsidRPr="00D25C7A" w:rsidRDefault="00FF147E" w:rsidP="00FF147E">
      <w:pPr>
        <w:jc w:val="both"/>
        <w:outlineLvl w:val="0"/>
        <w:rPr>
          <w:sz w:val="28"/>
          <w:szCs w:val="28"/>
        </w:rPr>
      </w:pPr>
      <w:r w:rsidRPr="00D25C7A">
        <w:rPr>
          <w:sz w:val="28"/>
          <w:szCs w:val="28"/>
        </w:rPr>
        <w:tab/>
        <w:t xml:space="preserve"> Средства наглядности повышают интерес к знаниям, позволяют облегчить процесс их усвоения, поддерживают внимание ребенка.</w:t>
      </w:r>
    </w:p>
    <w:p w:rsidR="00FF147E" w:rsidRPr="00D25C7A" w:rsidRDefault="00FF147E" w:rsidP="00FF147E">
      <w:pPr>
        <w:jc w:val="both"/>
        <w:outlineLvl w:val="0"/>
        <w:rPr>
          <w:sz w:val="28"/>
          <w:szCs w:val="28"/>
        </w:rPr>
      </w:pPr>
      <w:r w:rsidRPr="00D25C7A">
        <w:rPr>
          <w:sz w:val="28"/>
          <w:szCs w:val="28"/>
        </w:rPr>
        <w:tab/>
        <w:t>При использовании наглядности в обучении необходимо соблюдать ряд условий:</w:t>
      </w:r>
    </w:p>
    <w:p w:rsidR="00FF147E" w:rsidRPr="00D25C7A" w:rsidRDefault="00FF147E" w:rsidP="00FF147E">
      <w:pPr>
        <w:numPr>
          <w:ilvl w:val="0"/>
          <w:numId w:val="7"/>
        </w:numPr>
        <w:jc w:val="both"/>
        <w:outlineLvl w:val="0"/>
        <w:rPr>
          <w:sz w:val="28"/>
          <w:szCs w:val="28"/>
        </w:rPr>
      </w:pPr>
      <w:r w:rsidRPr="00D25C7A">
        <w:rPr>
          <w:sz w:val="28"/>
          <w:szCs w:val="28"/>
        </w:rPr>
        <w:t>применяемая наглядность должна соответствовать возрасту учащихся,</w:t>
      </w:r>
    </w:p>
    <w:p w:rsidR="00FF147E" w:rsidRPr="00D25C7A" w:rsidRDefault="00FF147E" w:rsidP="00FF147E">
      <w:pPr>
        <w:numPr>
          <w:ilvl w:val="0"/>
          <w:numId w:val="7"/>
        </w:numPr>
        <w:jc w:val="both"/>
        <w:outlineLvl w:val="0"/>
        <w:rPr>
          <w:sz w:val="28"/>
          <w:szCs w:val="28"/>
        </w:rPr>
      </w:pPr>
      <w:r w:rsidRPr="00D25C7A">
        <w:rPr>
          <w:sz w:val="28"/>
          <w:szCs w:val="28"/>
        </w:rPr>
        <w:t>наглядность должна использоваться в меру, и показывать ее следует постепенно и только в соответствующий момент урока,</w:t>
      </w:r>
    </w:p>
    <w:p w:rsidR="00FF147E" w:rsidRPr="00D25C7A" w:rsidRDefault="00FF147E" w:rsidP="00FF147E">
      <w:pPr>
        <w:numPr>
          <w:ilvl w:val="0"/>
          <w:numId w:val="7"/>
        </w:numPr>
        <w:jc w:val="both"/>
        <w:outlineLvl w:val="0"/>
        <w:rPr>
          <w:sz w:val="28"/>
          <w:szCs w:val="28"/>
        </w:rPr>
      </w:pPr>
      <w:r w:rsidRPr="00D25C7A">
        <w:rPr>
          <w:sz w:val="28"/>
          <w:szCs w:val="28"/>
        </w:rPr>
        <w:t>наблюдение должно быть организовано таким образом, чтобы все учащиеся могли хорошо видеть демонстрируемый объект,</w:t>
      </w:r>
    </w:p>
    <w:p w:rsidR="00FF147E" w:rsidRPr="00D25C7A" w:rsidRDefault="00FF147E" w:rsidP="00FF147E">
      <w:pPr>
        <w:numPr>
          <w:ilvl w:val="0"/>
          <w:numId w:val="7"/>
        </w:numPr>
        <w:jc w:val="both"/>
        <w:outlineLvl w:val="0"/>
        <w:rPr>
          <w:sz w:val="28"/>
          <w:szCs w:val="28"/>
        </w:rPr>
      </w:pPr>
      <w:r w:rsidRPr="00D25C7A">
        <w:rPr>
          <w:sz w:val="28"/>
          <w:szCs w:val="28"/>
        </w:rPr>
        <w:t>необходимо четко выделять главное, существенное при показе иллюстраций,</w:t>
      </w:r>
    </w:p>
    <w:p w:rsidR="00FF147E" w:rsidRPr="00D25C7A" w:rsidRDefault="00FF147E" w:rsidP="00FF147E">
      <w:pPr>
        <w:numPr>
          <w:ilvl w:val="0"/>
          <w:numId w:val="7"/>
        </w:numPr>
        <w:jc w:val="both"/>
        <w:outlineLvl w:val="0"/>
        <w:rPr>
          <w:sz w:val="28"/>
          <w:szCs w:val="28"/>
        </w:rPr>
      </w:pPr>
      <w:r w:rsidRPr="00D25C7A">
        <w:rPr>
          <w:sz w:val="28"/>
          <w:szCs w:val="28"/>
        </w:rPr>
        <w:t>детально продумывать пояснения, даваемые в ходе демонстрации явления,</w:t>
      </w:r>
    </w:p>
    <w:p w:rsidR="00FF147E" w:rsidRPr="00D25C7A" w:rsidRDefault="00FF147E" w:rsidP="00FF147E">
      <w:pPr>
        <w:numPr>
          <w:ilvl w:val="0"/>
          <w:numId w:val="7"/>
        </w:numPr>
        <w:jc w:val="both"/>
        <w:outlineLvl w:val="0"/>
        <w:rPr>
          <w:sz w:val="28"/>
          <w:szCs w:val="28"/>
        </w:rPr>
      </w:pPr>
      <w:r w:rsidRPr="00D25C7A">
        <w:rPr>
          <w:sz w:val="28"/>
          <w:szCs w:val="28"/>
        </w:rPr>
        <w:t>демонстрируемая наглядность должна быть точно согласована с содержанием учебного материала,</w:t>
      </w:r>
    </w:p>
    <w:p w:rsidR="00FF147E" w:rsidRPr="00D25C7A" w:rsidRDefault="00FF147E" w:rsidP="00FF147E">
      <w:pPr>
        <w:numPr>
          <w:ilvl w:val="0"/>
          <w:numId w:val="7"/>
        </w:numPr>
        <w:jc w:val="both"/>
        <w:outlineLvl w:val="0"/>
        <w:rPr>
          <w:sz w:val="28"/>
          <w:szCs w:val="28"/>
        </w:rPr>
      </w:pPr>
      <w:r w:rsidRPr="00D25C7A">
        <w:rPr>
          <w:sz w:val="28"/>
          <w:szCs w:val="28"/>
        </w:rPr>
        <w:t>привлекать самих учеников к нахождению желаемой информации в наглядном пособии или демонстрационном устройстве.</w:t>
      </w:r>
    </w:p>
    <w:p w:rsidR="00FF147E" w:rsidRPr="00D25C7A" w:rsidRDefault="00FF147E" w:rsidP="00FF147E">
      <w:pPr>
        <w:jc w:val="both"/>
        <w:outlineLvl w:val="0"/>
        <w:rPr>
          <w:sz w:val="28"/>
          <w:szCs w:val="28"/>
        </w:rPr>
      </w:pPr>
      <w:r w:rsidRPr="00D25C7A">
        <w:rPr>
          <w:sz w:val="28"/>
          <w:szCs w:val="28"/>
        </w:rPr>
        <w:tab/>
        <w:t xml:space="preserve">Наглядное обучение повышает внимание обучающихся, способствует более глубокому усвоению знаний. Она основана на особенностях мышления детей, которое развивается от конкретного к абстрактному. Понятия и абстрактные положения осмысливаются учащимися легче, если они подкрепляются конкретными фактами, примерами. Наглядность повышает интерес учащихся к знаниям и делает процесс обучения более легким. </w:t>
      </w:r>
    </w:p>
    <w:p w:rsidR="00FF147E" w:rsidRPr="00D25C7A" w:rsidRDefault="00FF147E" w:rsidP="00FF147E">
      <w:pPr>
        <w:jc w:val="both"/>
        <w:outlineLvl w:val="0"/>
        <w:rPr>
          <w:sz w:val="28"/>
          <w:szCs w:val="28"/>
        </w:rPr>
      </w:pPr>
    </w:p>
    <w:p w:rsidR="00FF147E" w:rsidRPr="00D25C7A" w:rsidRDefault="00FF147E" w:rsidP="00FF147E">
      <w:pPr>
        <w:jc w:val="both"/>
        <w:outlineLvl w:val="0"/>
        <w:rPr>
          <w:sz w:val="28"/>
          <w:szCs w:val="28"/>
        </w:rPr>
      </w:pPr>
    </w:p>
    <w:p w:rsidR="00FF147E" w:rsidRDefault="00FF147E" w:rsidP="00FF147E">
      <w:pPr>
        <w:ind w:firstLine="708"/>
        <w:jc w:val="both"/>
        <w:outlineLvl w:val="0"/>
        <w:rPr>
          <w:b/>
          <w:i/>
          <w:sz w:val="28"/>
          <w:szCs w:val="28"/>
        </w:rPr>
      </w:pPr>
    </w:p>
    <w:p w:rsidR="00FF147E" w:rsidRDefault="00FF147E" w:rsidP="00FF147E">
      <w:pPr>
        <w:ind w:firstLine="708"/>
        <w:jc w:val="both"/>
        <w:outlineLvl w:val="0"/>
        <w:rPr>
          <w:b/>
          <w:i/>
          <w:sz w:val="28"/>
          <w:szCs w:val="28"/>
        </w:rPr>
      </w:pPr>
    </w:p>
    <w:p w:rsidR="00E14D29" w:rsidRDefault="00E14D29">
      <w:bookmarkStart w:id="0" w:name="_GoBack"/>
      <w:bookmarkEnd w:id="0"/>
    </w:p>
    <w:sectPr w:rsidR="00E14D29" w:rsidSect="00265F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9527A"/>
    <w:multiLevelType w:val="hybridMultilevel"/>
    <w:tmpl w:val="9C82C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0060F2"/>
    <w:multiLevelType w:val="hybridMultilevel"/>
    <w:tmpl w:val="5980D9B4"/>
    <w:lvl w:ilvl="0" w:tplc="2EFE452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EBF49C6"/>
    <w:multiLevelType w:val="hybridMultilevel"/>
    <w:tmpl w:val="70C82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A73BEB"/>
    <w:multiLevelType w:val="hybridMultilevel"/>
    <w:tmpl w:val="1AF8017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602E1C7C"/>
    <w:multiLevelType w:val="hybridMultilevel"/>
    <w:tmpl w:val="DD349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152071"/>
    <w:multiLevelType w:val="hybridMultilevel"/>
    <w:tmpl w:val="8EE6B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287F82"/>
    <w:multiLevelType w:val="hybridMultilevel"/>
    <w:tmpl w:val="6A70B2C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F147E"/>
    <w:rsid w:val="00265FC9"/>
    <w:rsid w:val="00DB635C"/>
    <w:rsid w:val="00E14D29"/>
    <w:rsid w:val="00FF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F6969-EF39-4C88-BE5D-C946A513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7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F147E"/>
    <w:pPr>
      <w:pBdr>
        <w:bottom w:val="single" w:sz="18" w:space="2" w:color="C9C6BF"/>
      </w:pBdr>
      <w:spacing w:before="100" w:beforeAutospacing="1" w:after="100" w:afterAutospacing="1"/>
      <w:outlineLvl w:val="0"/>
    </w:pPr>
    <w:rPr>
      <w:b/>
      <w:bCs/>
      <w:color w:val="333333"/>
      <w:kern w:val="36"/>
      <w:sz w:val="27"/>
      <w:szCs w:val="27"/>
    </w:rPr>
  </w:style>
  <w:style w:type="paragraph" w:styleId="3">
    <w:name w:val="heading 3"/>
    <w:basedOn w:val="a"/>
    <w:next w:val="a"/>
    <w:link w:val="30"/>
    <w:qFormat/>
    <w:rsid w:val="00FF147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47E"/>
    <w:rPr>
      <w:rFonts w:ascii="Times New Roman" w:eastAsia="Times New Roman" w:hAnsi="Times New Roman" w:cs="Times New Roman"/>
      <w:b/>
      <w:bCs/>
      <w:color w:val="333333"/>
      <w:kern w:val="36"/>
      <w:sz w:val="27"/>
      <w:szCs w:val="27"/>
      <w:lang w:eastAsia="ru-RU"/>
    </w:rPr>
  </w:style>
  <w:style w:type="character" w:customStyle="1" w:styleId="30">
    <w:name w:val="Заголовок 3 Знак"/>
    <w:basedOn w:val="a0"/>
    <w:link w:val="3"/>
    <w:rsid w:val="00FF147E"/>
    <w:rPr>
      <w:rFonts w:ascii="Arial" w:eastAsia="Times New Roman" w:hAnsi="Arial" w:cs="Arial"/>
      <w:b/>
      <w:bCs/>
      <w:sz w:val="26"/>
      <w:szCs w:val="26"/>
      <w:lang w:eastAsia="ru-RU"/>
    </w:rPr>
  </w:style>
  <w:style w:type="table" w:styleId="a3">
    <w:name w:val="Table Grid"/>
    <w:basedOn w:val="a1"/>
    <w:rsid w:val="00FF14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semiHidden/>
    <w:rsid w:val="00FF147E"/>
    <w:pPr>
      <w:shd w:val="clear" w:color="auto" w:fill="000080"/>
    </w:pPr>
    <w:rPr>
      <w:rFonts w:ascii="Tahoma" w:hAnsi="Tahoma" w:cs="Tahoma"/>
      <w:sz w:val="20"/>
      <w:szCs w:val="20"/>
    </w:rPr>
  </w:style>
  <w:style w:type="character" w:customStyle="1" w:styleId="a5">
    <w:name w:val="Схема документа Знак"/>
    <w:basedOn w:val="a0"/>
    <w:link w:val="a4"/>
    <w:semiHidden/>
    <w:rsid w:val="00FF147E"/>
    <w:rPr>
      <w:rFonts w:ascii="Tahoma" w:eastAsia="Times New Roman" w:hAnsi="Tahoma" w:cs="Tahoma"/>
      <w:sz w:val="20"/>
      <w:szCs w:val="20"/>
      <w:shd w:val="clear" w:color="auto" w:fill="000080"/>
      <w:lang w:eastAsia="ru-RU"/>
    </w:rPr>
  </w:style>
  <w:style w:type="table" w:styleId="a6">
    <w:name w:val="Table Theme"/>
    <w:basedOn w:val="a1"/>
    <w:rsid w:val="00FF14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FF147E"/>
    <w:rPr>
      <w:b/>
      <w:bCs/>
      <w:sz w:val="20"/>
      <w:szCs w:val="20"/>
    </w:rPr>
  </w:style>
  <w:style w:type="paragraph" w:styleId="a8">
    <w:name w:val="Normal (Web)"/>
    <w:basedOn w:val="a"/>
    <w:rsid w:val="00FF147E"/>
    <w:pPr>
      <w:spacing w:after="75"/>
      <w:jc w:val="both"/>
    </w:pPr>
  </w:style>
  <w:style w:type="character" w:styleId="a9">
    <w:name w:val="Strong"/>
    <w:basedOn w:val="a0"/>
    <w:qFormat/>
    <w:rsid w:val="00FF147E"/>
    <w:rPr>
      <w:b/>
      <w:bCs/>
    </w:rPr>
  </w:style>
  <w:style w:type="character" w:styleId="aa">
    <w:name w:val="Hyperlink"/>
    <w:basedOn w:val="a0"/>
    <w:rsid w:val="00FF147E"/>
    <w:rPr>
      <w:rFonts w:ascii="Arial" w:hAnsi="Arial" w:cs="Arial" w:hint="default"/>
      <w:strike w:val="0"/>
      <w:dstrike w:val="0"/>
      <w:color w:val="B51017"/>
      <w:sz w:val="20"/>
      <w:szCs w:val="20"/>
      <w:u w:val="none"/>
      <w:effect w:val="none"/>
    </w:rPr>
  </w:style>
  <w:style w:type="character" w:styleId="ab">
    <w:name w:val="Emphasis"/>
    <w:basedOn w:val="a0"/>
    <w:qFormat/>
    <w:rsid w:val="00FF147E"/>
    <w:rPr>
      <w:i/>
      <w:iCs/>
    </w:rPr>
  </w:style>
  <w:style w:type="character" w:styleId="ac">
    <w:name w:val="FollowedHyperlink"/>
    <w:basedOn w:val="a0"/>
    <w:rsid w:val="00FF147E"/>
    <w:rPr>
      <w:color w:val="800080"/>
      <w:u w:val="single"/>
    </w:rPr>
  </w:style>
  <w:style w:type="paragraph" w:styleId="ad">
    <w:name w:val="footer"/>
    <w:basedOn w:val="a"/>
    <w:link w:val="ae"/>
    <w:rsid w:val="00FF147E"/>
    <w:pPr>
      <w:tabs>
        <w:tab w:val="center" w:pos="4677"/>
        <w:tab w:val="right" w:pos="9355"/>
      </w:tabs>
    </w:pPr>
  </w:style>
  <w:style w:type="character" w:customStyle="1" w:styleId="ae">
    <w:name w:val="Нижний колонтитул Знак"/>
    <w:basedOn w:val="a0"/>
    <w:link w:val="ad"/>
    <w:rsid w:val="00FF147E"/>
    <w:rPr>
      <w:rFonts w:ascii="Times New Roman" w:eastAsia="Times New Roman" w:hAnsi="Times New Roman" w:cs="Times New Roman"/>
      <w:sz w:val="24"/>
      <w:szCs w:val="24"/>
      <w:lang w:eastAsia="ru-RU"/>
    </w:rPr>
  </w:style>
  <w:style w:type="character" w:styleId="af">
    <w:name w:val="page number"/>
    <w:basedOn w:val="a0"/>
    <w:rsid w:val="00FF147E"/>
  </w:style>
  <w:style w:type="paragraph" w:styleId="af0">
    <w:name w:val="Balloon Text"/>
    <w:basedOn w:val="a"/>
    <w:link w:val="af1"/>
    <w:uiPriority w:val="99"/>
    <w:semiHidden/>
    <w:unhideWhenUsed/>
    <w:rsid w:val="00FF147E"/>
    <w:rPr>
      <w:rFonts w:ascii="Tahoma" w:hAnsi="Tahoma" w:cs="Tahoma"/>
      <w:sz w:val="16"/>
      <w:szCs w:val="16"/>
    </w:rPr>
  </w:style>
  <w:style w:type="character" w:customStyle="1" w:styleId="af1">
    <w:name w:val="Текст выноски Знак"/>
    <w:basedOn w:val="a0"/>
    <w:link w:val="af0"/>
    <w:uiPriority w:val="99"/>
    <w:semiHidden/>
    <w:rsid w:val="00FF14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708</Words>
  <Characters>4039</Characters>
  <Application>Microsoft Office Word</Application>
  <DocSecurity>0</DocSecurity>
  <Lines>33</Lines>
  <Paragraphs>9</Paragraphs>
  <ScaleCrop>false</ScaleCrop>
  <Company>RePack by SPecialiST</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2015-10-30T03:41:00Z</dcterms:created>
  <dcterms:modified xsi:type="dcterms:W3CDTF">2019-11-12T18:06:00Z</dcterms:modified>
</cp:coreProperties>
</file>